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3A4" w:rsidRDefault="00DD43A4" w:rsidP="00DD43A4">
      <w:pPr>
        <w:jc w:val="right"/>
        <w:rPr>
          <w:rFonts w:ascii="Arial" w:hAnsi="Arial" w:cs="Arial"/>
          <w:b/>
          <w:color w:val="FF0000"/>
          <w:sz w:val="36"/>
          <w:szCs w:val="36"/>
        </w:rPr>
      </w:pPr>
      <w:bookmarkStart w:id="0" w:name="_GoBack"/>
      <w:bookmarkEnd w:id="0"/>
      <w:r w:rsidRPr="00310FCD">
        <w:rPr>
          <w:rFonts w:ascii="Arial" w:hAnsi="Arial" w:cs="Arial"/>
          <w:b/>
          <w:sz w:val="36"/>
          <w:szCs w:val="36"/>
        </w:rPr>
        <w:t>Bod č.</w:t>
      </w:r>
      <w:r w:rsidRPr="00141682">
        <w:rPr>
          <w:rFonts w:ascii="Arial" w:hAnsi="Arial" w:cs="Arial"/>
          <w:b/>
          <w:color w:val="FF0000"/>
          <w:sz w:val="36"/>
          <w:szCs w:val="36"/>
        </w:rPr>
        <w:t xml:space="preserve"> </w:t>
      </w:r>
    </w:p>
    <w:p w:rsidR="00DD43A4" w:rsidRPr="00232A48" w:rsidRDefault="00DD43A4" w:rsidP="00DD43A4">
      <w:pPr>
        <w:jc w:val="center"/>
        <w:rPr>
          <w:rFonts w:ascii="Arial" w:hAnsi="Arial" w:cs="Arial"/>
          <w:sz w:val="36"/>
          <w:szCs w:val="36"/>
        </w:rPr>
      </w:pPr>
      <w:r w:rsidRPr="00232A48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DD43A4" w:rsidRDefault="00DD43A4" w:rsidP="00DD43A4">
      <w:pPr>
        <w:rPr>
          <w:rFonts w:ascii="Arial" w:hAnsi="Arial" w:cs="Arial"/>
        </w:rPr>
      </w:pPr>
    </w:p>
    <w:p w:rsidR="00DD43A4" w:rsidRPr="00232A48" w:rsidRDefault="00DD43A4" w:rsidP="00DD43A4">
      <w:pPr>
        <w:rPr>
          <w:rFonts w:ascii="Arial" w:hAnsi="Arial" w:cs="Arial"/>
        </w:rPr>
      </w:pPr>
      <w:r w:rsidRPr="00232A48">
        <w:rPr>
          <w:rFonts w:ascii="Arial" w:hAnsi="Arial" w:cs="Arial"/>
        </w:rPr>
        <w:t>Materiál na rokovanie</w:t>
      </w:r>
      <w:r w:rsidR="00E76D1A">
        <w:rPr>
          <w:rFonts w:ascii="Arial" w:hAnsi="Arial" w:cs="Arial"/>
        </w:rPr>
        <w:t xml:space="preserve"> </w:t>
      </w:r>
      <w:r w:rsidRPr="00232A48">
        <w:rPr>
          <w:rFonts w:ascii="Arial" w:hAnsi="Arial" w:cs="Arial"/>
        </w:rPr>
        <w:t xml:space="preserve">Zastupiteľstva </w:t>
      </w:r>
    </w:p>
    <w:p w:rsidR="00DD43A4" w:rsidRPr="00232A48" w:rsidRDefault="00DD43A4" w:rsidP="00DD43A4">
      <w:pPr>
        <w:rPr>
          <w:rFonts w:ascii="Arial" w:hAnsi="Arial" w:cs="Arial"/>
        </w:rPr>
      </w:pPr>
      <w:r w:rsidRPr="00232A48">
        <w:rPr>
          <w:rFonts w:ascii="Arial" w:hAnsi="Arial" w:cs="Arial"/>
        </w:rPr>
        <w:t xml:space="preserve">Bratislavského samosprávneho kraja </w:t>
      </w:r>
    </w:p>
    <w:p w:rsidR="00DD43A4" w:rsidRDefault="00DD43A4" w:rsidP="00DD43A4">
      <w:pPr>
        <w:rPr>
          <w:rFonts w:ascii="Arial" w:hAnsi="Arial" w:cs="Arial"/>
        </w:rPr>
      </w:pPr>
    </w:p>
    <w:p w:rsidR="00DD43A4" w:rsidRDefault="00DD43A4" w:rsidP="00DD43A4">
      <w:pPr>
        <w:tabs>
          <w:tab w:val="left" w:pos="1254"/>
        </w:tabs>
        <w:rPr>
          <w:rFonts w:ascii="Arial" w:hAnsi="Arial" w:cs="Arial"/>
          <w:b/>
        </w:rPr>
      </w:pPr>
    </w:p>
    <w:p w:rsidR="006E49CB" w:rsidRPr="00141682" w:rsidRDefault="006E49CB" w:rsidP="00DD43A4">
      <w:pPr>
        <w:tabs>
          <w:tab w:val="left" w:pos="1254"/>
        </w:tabs>
        <w:rPr>
          <w:rFonts w:ascii="Arial" w:hAnsi="Arial" w:cs="Arial"/>
          <w:color w:val="FF0000"/>
        </w:rPr>
      </w:pPr>
    </w:p>
    <w:p w:rsidR="00DD43A4" w:rsidRDefault="00DD43A4" w:rsidP="00DD43A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C377C4" w:rsidRDefault="00C377C4" w:rsidP="00DD43A4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</w:p>
    <w:p w:rsidR="00C377C4" w:rsidRDefault="00C377C4" w:rsidP="00DD43A4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</w:p>
    <w:p w:rsidR="00DD43A4" w:rsidRPr="00A53280" w:rsidRDefault="00DD43A4" w:rsidP="00DD43A4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  <w:r w:rsidRPr="00A53280">
        <w:rPr>
          <w:rFonts w:ascii="Arial" w:eastAsia="Arial Unicode MS" w:hAnsi="Arial" w:cs="Arial"/>
          <w:b/>
          <w:bCs/>
        </w:rPr>
        <w:t>Návrh</w:t>
      </w:r>
    </w:p>
    <w:p w:rsidR="00DD43A4" w:rsidRPr="00A53280" w:rsidRDefault="00DD43A4" w:rsidP="00DD43A4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</w:p>
    <w:p w:rsidR="00DD43A4" w:rsidRDefault="00DD43A4" w:rsidP="00DD43A4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  <w:r w:rsidRPr="00A53280">
        <w:rPr>
          <w:rFonts w:ascii="Arial" w:eastAsia="Arial Unicode MS" w:hAnsi="Arial" w:cs="Arial"/>
          <w:b/>
          <w:bCs/>
        </w:rPr>
        <w:t>Rozpočtu Bratislavského samosprávneho kraja na roky 201</w:t>
      </w:r>
      <w:r w:rsidR="00A53280" w:rsidRPr="00A53280">
        <w:rPr>
          <w:rFonts w:ascii="Arial" w:eastAsia="Arial Unicode MS" w:hAnsi="Arial" w:cs="Arial"/>
          <w:b/>
          <w:bCs/>
        </w:rPr>
        <w:t>4</w:t>
      </w:r>
      <w:r w:rsidRPr="00A53280">
        <w:rPr>
          <w:rFonts w:ascii="Arial" w:eastAsia="Arial Unicode MS" w:hAnsi="Arial" w:cs="Arial"/>
          <w:b/>
          <w:bCs/>
        </w:rPr>
        <w:t xml:space="preserve"> - 201</w:t>
      </w:r>
      <w:r w:rsidR="00A53280" w:rsidRPr="00A53280">
        <w:rPr>
          <w:rFonts w:ascii="Arial" w:eastAsia="Arial Unicode MS" w:hAnsi="Arial" w:cs="Arial"/>
          <w:b/>
          <w:bCs/>
        </w:rPr>
        <w:t>6</w:t>
      </w:r>
    </w:p>
    <w:p w:rsidR="00DD43A4" w:rsidRPr="004B4A28" w:rsidRDefault="00DD43A4" w:rsidP="00DD43A4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</w:p>
    <w:p w:rsidR="00DD43A4" w:rsidRPr="00141682" w:rsidRDefault="00DD43A4" w:rsidP="00DD43A4">
      <w:pPr>
        <w:tabs>
          <w:tab w:val="left" w:pos="1254"/>
        </w:tabs>
        <w:rPr>
          <w:rFonts w:ascii="Arial" w:hAnsi="Arial" w:cs="Arial"/>
        </w:rPr>
      </w:pPr>
    </w:p>
    <w:p w:rsidR="00DD43A4" w:rsidRPr="00141682" w:rsidRDefault="00DD43A4" w:rsidP="00DD43A4">
      <w:pPr>
        <w:tabs>
          <w:tab w:val="left" w:pos="1254"/>
        </w:tabs>
        <w:rPr>
          <w:rFonts w:ascii="Arial" w:hAnsi="Arial" w:cs="Arial"/>
        </w:rPr>
      </w:pPr>
    </w:p>
    <w:p w:rsidR="00DD43A4" w:rsidRPr="00110D38" w:rsidRDefault="00DD43A4" w:rsidP="00DD43A4">
      <w:pPr>
        <w:tabs>
          <w:tab w:val="left" w:pos="1254"/>
        </w:tabs>
        <w:jc w:val="both"/>
        <w:rPr>
          <w:rFonts w:ascii="Arial" w:hAnsi="Arial" w:cs="Arial"/>
          <w:sz w:val="22"/>
          <w:szCs w:val="22"/>
        </w:rPr>
      </w:pPr>
      <w:r w:rsidRPr="00110D38">
        <w:rPr>
          <w:rFonts w:ascii="Arial" w:hAnsi="Arial" w:cs="Arial"/>
          <w:sz w:val="22"/>
          <w:szCs w:val="22"/>
          <w:u w:val="single"/>
        </w:rPr>
        <w:t>Materiál predkladá</w:t>
      </w:r>
      <w:r w:rsidRPr="00110D38">
        <w:rPr>
          <w:rFonts w:ascii="Arial" w:hAnsi="Arial" w:cs="Arial"/>
          <w:sz w:val="22"/>
          <w:szCs w:val="22"/>
        </w:rPr>
        <w:t xml:space="preserve">:      </w:t>
      </w:r>
      <w:r w:rsidRPr="00110D38">
        <w:rPr>
          <w:rFonts w:ascii="Arial" w:hAnsi="Arial" w:cs="Arial"/>
          <w:sz w:val="22"/>
          <w:szCs w:val="22"/>
        </w:rPr>
        <w:tab/>
        <w:t xml:space="preserve">                                              </w:t>
      </w:r>
      <w:r w:rsidRPr="00110D38">
        <w:rPr>
          <w:rFonts w:ascii="Arial" w:hAnsi="Arial" w:cs="Arial"/>
          <w:sz w:val="22"/>
          <w:szCs w:val="22"/>
          <w:u w:val="single"/>
        </w:rPr>
        <w:t>Materiál obsahuje</w:t>
      </w:r>
      <w:r w:rsidRPr="00110D38">
        <w:rPr>
          <w:rFonts w:ascii="Arial" w:hAnsi="Arial" w:cs="Arial"/>
          <w:sz w:val="22"/>
          <w:szCs w:val="22"/>
        </w:rPr>
        <w:t>:</w:t>
      </w:r>
    </w:p>
    <w:p w:rsidR="00DD43A4" w:rsidRPr="001116B2" w:rsidRDefault="00DD43A4" w:rsidP="00DD43A4">
      <w:pPr>
        <w:tabs>
          <w:tab w:val="left" w:pos="1254"/>
        </w:tabs>
        <w:jc w:val="both"/>
        <w:rPr>
          <w:rFonts w:ascii="Arial" w:hAnsi="Arial" w:cs="Arial"/>
        </w:rPr>
      </w:pPr>
    </w:p>
    <w:p w:rsidR="00DD43A4" w:rsidRPr="00110D38" w:rsidRDefault="006C713C" w:rsidP="00DD43A4">
      <w:pPr>
        <w:tabs>
          <w:tab w:val="left" w:pos="1254"/>
          <w:tab w:val="left" w:pos="504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Ing. </w:t>
      </w:r>
      <w:r w:rsidR="00E76D1A">
        <w:rPr>
          <w:rFonts w:ascii="Arial" w:hAnsi="Arial" w:cs="Arial"/>
          <w:b/>
          <w:sz w:val="22"/>
          <w:szCs w:val="22"/>
        </w:rPr>
        <w:t>Bystrík Žák</w:t>
      </w:r>
      <w:r w:rsidR="00DD43A4" w:rsidRPr="001116B2">
        <w:rPr>
          <w:rFonts w:ascii="Arial" w:hAnsi="Arial" w:cs="Arial"/>
        </w:rPr>
        <w:tab/>
      </w:r>
      <w:r w:rsidR="00DD43A4">
        <w:rPr>
          <w:rFonts w:ascii="Arial" w:hAnsi="Arial" w:cs="Arial"/>
        </w:rPr>
        <w:tab/>
      </w:r>
      <w:r w:rsidR="00DD43A4" w:rsidRPr="001116B2">
        <w:rPr>
          <w:rFonts w:ascii="Arial" w:hAnsi="Arial" w:cs="Arial"/>
        </w:rPr>
        <w:t>1</w:t>
      </w:r>
      <w:r w:rsidR="00DD43A4" w:rsidRPr="00110D38">
        <w:rPr>
          <w:rFonts w:ascii="Arial" w:hAnsi="Arial" w:cs="Arial"/>
          <w:sz w:val="22"/>
          <w:szCs w:val="22"/>
        </w:rPr>
        <w:t>.   Návrh uznesenia</w:t>
      </w:r>
    </w:p>
    <w:p w:rsidR="00DD43A4" w:rsidRPr="00110D38" w:rsidRDefault="00E76D1A" w:rsidP="00DD43A4">
      <w:pPr>
        <w:tabs>
          <w:tab w:val="left" w:pos="1254"/>
          <w:tab w:val="left" w:pos="504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Úradu BSK</w:t>
      </w:r>
      <w:r w:rsidR="006C713C">
        <w:rPr>
          <w:rFonts w:ascii="Arial" w:hAnsi="Arial" w:cs="Arial"/>
          <w:sz w:val="22"/>
          <w:szCs w:val="22"/>
        </w:rPr>
        <w:tab/>
      </w:r>
      <w:r w:rsidR="00DD43A4" w:rsidRPr="00110D38">
        <w:rPr>
          <w:rFonts w:ascii="Arial" w:hAnsi="Arial" w:cs="Arial"/>
          <w:sz w:val="22"/>
          <w:szCs w:val="22"/>
        </w:rPr>
        <w:tab/>
        <w:t>2.   Dôvodová správa</w:t>
      </w:r>
    </w:p>
    <w:p w:rsidR="00DD43A4" w:rsidRPr="00110D38" w:rsidRDefault="00DD43A4" w:rsidP="00DD43A4">
      <w:pPr>
        <w:tabs>
          <w:tab w:val="left" w:pos="1254"/>
          <w:tab w:val="left" w:pos="5040"/>
        </w:tabs>
        <w:ind w:left="5664" w:hanging="5040"/>
        <w:jc w:val="both"/>
        <w:rPr>
          <w:rFonts w:ascii="Arial" w:hAnsi="Arial" w:cs="Arial"/>
          <w:sz w:val="22"/>
          <w:szCs w:val="22"/>
        </w:rPr>
      </w:pPr>
      <w:r w:rsidRPr="00110D38">
        <w:rPr>
          <w:rFonts w:ascii="Arial" w:hAnsi="Arial" w:cs="Arial"/>
          <w:sz w:val="22"/>
          <w:szCs w:val="22"/>
        </w:rPr>
        <w:tab/>
      </w:r>
      <w:r w:rsidRPr="00110D38">
        <w:rPr>
          <w:rFonts w:ascii="Arial" w:hAnsi="Arial" w:cs="Arial"/>
          <w:sz w:val="22"/>
          <w:szCs w:val="22"/>
        </w:rPr>
        <w:tab/>
      </w:r>
      <w:r w:rsidRPr="00110D38">
        <w:rPr>
          <w:rFonts w:ascii="Arial" w:hAnsi="Arial" w:cs="Arial"/>
          <w:sz w:val="22"/>
          <w:szCs w:val="22"/>
        </w:rPr>
        <w:tab/>
        <w:t xml:space="preserve">3.   Návrh rozpočtu BSK na </w:t>
      </w:r>
    </w:p>
    <w:p w:rsidR="00DD43A4" w:rsidRDefault="00DD43A4" w:rsidP="00DD43A4">
      <w:pPr>
        <w:tabs>
          <w:tab w:val="left" w:pos="1254"/>
          <w:tab w:val="left" w:pos="5040"/>
        </w:tabs>
        <w:ind w:left="5664" w:hanging="5040"/>
        <w:jc w:val="both"/>
        <w:rPr>
          <w:rFonts w:ascii="Arial" w:hAnsi="Arial" w:cs="Arial"/>
          <w:sz w:val="22"/>
          <w:szCs w:val="22"/>
        </w:rPr>
      </w:pPr>
      <w:r w:rsidRPr="00110D38">
        <w:rPr>
          <w:rFonts w:ascii="Arial" w:hAnsi="Arial" w:cs="Arial"/>
          <w:sz w:val="22"/>
          <w:szCs w:val="22"/>
        </w:rPr>
        <w:tab/>
      </w:r>
      <w:r w:rsidRPr="00110D38">
        <w:rPr>
          <w:rFonts w:ascii="Arial" w:hAnsi="Arial" w:cs="Arial"/>
          <w:sz w:val="22"/>
          <w:szCs w:val="22"/>
        </w:rPr>
        <w:tab/>
      </w:r>
      <w:r w:rsidRPr="00110D38">
        <w:rPr>
          <w:rFonts w:ascii="Arial" w:hAnsi="Arial" w:cs="Arial"/>
          <w:sz w:val="22"/>
          <w:szCs w:val="22"/>
        </w:rPr>
        <w:tab/>
        <w:t xml:space="preserve">      roky 201</w:t>
      </w:r>
      <w:r w:rsidR="00A53280">
        <w:rPr>
          <w:rFonts w:ascii="Arial" w:hAnsi="Arial" w:cs="Arial"/>
          <w:sz w:val="22"/>
          <w:szCs w:val="22"/>
        </w:rPr>
        <w:t>4</w:t>
      </w:r>
      <w:r w:rsidRPr="00110D38">
        <w:rPr>
          <w:rFonts w:ascii="Arial" w:hAnsi="Arial" w:cs="Arial"/>
          <w:sz w:val="22"/>
          <w:szCs w:val="22"/>
        </w:rPr>
        <w:t xml:space="preserve"> </w:t>
      </w:r>
      <w:r w:rsidR="00864FFB">
        <w:rPr>
          <w:rFonts w:ascii="Arial" w:hAnsi="Arial" w:cs="Arial"/>
          <w:sz w:val="22"/>
          <w:szCs w:val="22"/>
        </w:rPr>
        <w:t>–</w:t>
      </w:r>
      <w:r w:rsidRPr="00110D38">
        <w:rPr>
          <w:rFonts w:ascii="Arial" w:hAnsi="Arial" w:cs="Arial"/>
          <w:sz w:val="22"/>
          <w:szCs w:val="22"/>
        </w:rPr>
        <w:t xml:space="preserve"> 201</w:t>
      </w:r>
      <w:r w:rsidR="00A53280">
        <w:rPr>
          <w:rFonts w:ascii="Arial" w:hAnsi="Arial" w:cs="Arial"/>
          <w:sz w:val="22"/>
          <w:szCs w:val="22"/>
        </w:rPr>
        <w:t>6</w:t>
      </w:r>
    </w:p>
    <w:p w:rsidR="00864FFB" w:rsidRPr="00110D38" w:rsidRDefault="00864FFB" w:rsidP="00DD43A4">
      <w:pPr>
        <w:tabs>
          <w:tab w:val="left" w:pos="1254"/>
          <w:tab w:val="left" w:pos="5040"/>
        </w:tabs>
        <w:ind w:left="5664" w:hanging="50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4. Stanoviská komisií Z BSK</w:t>
      </w:r>
    </w:p>
    <w:p w:rsidR="00550227" w:rsidRDefault="006E49CB" w:rsidP="00DD43A4">
      <w:pPr>
        <w:tabs>
          <w:tab w:val="left" w:pos="1254"/>
          <w:tab w:val="left" w:pos="5040"/>
        </w:tabs>
        <w:ind w:left="5664" w:hanging="50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DD43A4" w:rsidRPr="00110D38" w:rsidRDefault="00550227" w:rsidP="0001336B">
      <w:pPr>
        <w:tabs>
          <w:tab w:val="left" w:pos="1254"/>
          <w:tab w:val="left" w:pos="5040"/>
        </w:tabs>
        <w:ind w:left="5954" w:hanging="48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</w:t>
      </w:r>
    </w:p>
    <w:p w:rsidR="00E46AC4" w:rsidRDefault="00E46AC4" w:rsidP="00E46AC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A53280" w:rsidRDefault="00A53280" w:rsidP="00E46AC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A53280" w:rsidRDefault="00A53280" w:rsidP="00E46AC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A53280" w:rsidRDefault="00A53280" w:rsidP="00E46AC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A53280" w:rsidRDefault="00A53280" w:rsidP="00E46AC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A53280" w:rsidRDefault="00A53280" w:rsidP="00E46AC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E46AC4" w:rsidRPr="00D7539E" w:rsidRDefault="00E46AC4" w:rsidP="00E46AC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E46AC4" w:rsidRDefault="00E46AC4" w:rsidP="00E46AC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E46AC4" w:rsidRPr="00D7539E" w:rsidRDefault="00E46AC4" w:rsidP="00E46AC4">
      <w:pPr>
        <w:tabs>
          <w:tab w:val="left" w:pos="1254"/>
          <w:tab w:val="left" w:pos="5040"/>
        </w:tabs>
        <w:jc w:val="both"/>
        <w:rPr>
          <w:rFonts w:ascii="Arial" w:hAnsi="Arial" w:cs="Arial"/>
          <w:b/>
          <w:sz w:val="22"/>
          <w:szCs w:val="22"/>
        </w:rPr>
      </w:pPr>
      <w:r w:rsidRPr="00D7539E">
        <w:rPr>
          <w:rFonts w:ascii="Arial" w:hAnsi="Arial" w:cs="Arial"/>
          <w:b/>
          <w:sz w:val="22"/>
          <w:szCs w:val="22"/>
        </w:rPr>
        <w:t>Ing. Marián Múdry</w:t>
      </w:r>
      <w:r w:rsidRPr="00D7539E">
        <w:rPr>
          <w:rFonts w:ascii="Arial" w:hAnsi="Arial" w:cs="Arial"/>
          <w:b/>
          <w:sz w:val="22"/>
          <w:szCs w:val="22"/>
        </w:rPr>
        <w:tab/>
      </w:r>
    </w:p>
    <w:p w:rsidR="00E46AC4" w:rsidRDefault="00E46AC4" w:rsidP="00E46AC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odboru financií</w:t>
      </w:r>
    </w:p>
    <w:p w:rsidR="00E46AC4" w:rsidRDefault="00E46AC4" w:rsidP="00E46AC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D43A4" w:rsidRDefault="00DD43A4" w:rsidP="00E46AC4">
      <w:pPr>
        <w:tabs>
          <w:tab w:val="left" w:pos="1254"/>
        </w:tabs>
        <w:rPr>
          <w:rFonts w:ascii="Calibri" w:hAnsi="Calibri" w:cs="Arial"/>
          <w:u w:val="single"/>
        </w:rPr>
      </w:pPr>
    </w:p>
    <w:p w:rsidR="00E46AC4" w:rsidRPr="005F6BB4" w:rsidRDefault="00E46AC4" w:rsidP="00E46AC4">
      <w:pPr>
        <w:tabs>
          <w:tab w:val="left" w:pos="1254"/>
        </w:tabs>
        <w:rPr>
          <w:rFonts w:ascii="Calibri" w:hAnsi="Calibri" w:cs="Arial"/>
          <w:u w:val="single"/>
        </w:rPr>
      </w:pPr>
      <w:r w:rsidRPr="005F6BB4">
        <w:rPr>
          <w:rFonts w:ascii="Calibri" w:hAnsi="Calibri" w:cs="Arial"/>
          <w:u w:val="single"/>
        </w:rPr>
        <w:t>Spracovateľ:</w:t>
      </w:r>
    </w:p>
    <w:p w:rsidR="00E46AC4" w:rsidRPr="005F6BB4" w:rsidRDefault="00E46AC4" w:rsidP="00E46AC4">
      <w:pPr>
        <w:pStyle w:val="Zarkazkladnhotextu"/>
        <w:rPr>
          <w:rFonts w:ascii="Calibri" w:hAnsi="Calibri"/>
          <w:b/>
          <w:sz w:val="18"/>
          <w:szCs w:val="18"/>
        </w:rPr>
      </w:pPr>
      <w:r w:rsidRPr="005F6BB4">
        <w:rPr>
          <w:rFonts w:ascii="Calibri" w:hAnsi="Calibri"/>
          <w:b/>
          <w:sz w:val="18"/>
          <w:szCs w:val="18"/>
        </w:rPr>
        <w:t>Ing. Veronika Bódiová</w:t>
      </w:r>
      <w:r w:rsidRPr="005F6BB4">
        <w:rPr>
          <w:rFonts w:ascii="Calibri" w:hAnsi="Calibri"/>
          <w:b/>
          <w:sz w:val="18"/>
          <w:szCs w:val="18"/>
        </w:rPr>
        <w:tab/>
      </w:r>
      <w:r w:rsidRPr="005F6BB4"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>Bc. Renáta Pipašová</w:t>
      </w:r>
      <w:r w:rsidRPr="005F6BB4"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 xml:space="preserve">    </w:t>
      </w:r>
      <w:r w:rsidR="00A53280">
        <w:rPr>
          <w:rFonts w:ascii="Calibri" w:hAnsi="Calibri"/>
          <w:b/>
          <w:sz w:val="18"/>
          <w:szCs w:val="18"/>
        </w:rPr>
        <w:t xml:space="preserve">Lucia Jankovičová      </w:t>
      </w:r>
      <w:r>
        <w:rPr>
          <w:rFonts w:ascii="Calibri" w:hAnsi="Calibri"/>
          <w:b/>
          <w:sz w:val="18"/>
          <w:szCs w:val="18"/>
        </w:rPr>
        <w:t xml:space="preserve">             Mgr.</w:t>
      </w:r>
      <w:r w:rsidRPr="005F6BB4">
        <w:rPr>
          <w:rFonts w:ascii="Calibri" w:hAnsi="Calibri"/>
          <w:b/>
          <w:sz w:val="18"/>
          <w:szCs w:val="18"/>
        </w:rPr>
        <w:t xml:space="preserve"> Rudolf Zaťko</w:t>
      </w:r>
    </w:p>
    <w:p w:rsidR="00E46AC4" w:rsidRPr="005F6BB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 w:cs="Arial"/>
          <w:b/>
          <w:sz w:val="18"/>
          <w:szCs w:val="18"/>
          <w:lang w:val="sk-SK" w:eastAsia="cs-CZ"/>
        </w:rPr>
      </w:pPr>
      <w:r w:rsidRPr="005F6BB4">
        <w:rPr>
          <w:rFonts w:ascii="Calibri" w:hAnsi="Calibri" w:cs="Arial"/>
          <w:b/>
          <w:sz w:val="18"/>
          <w:szCs w:val="18"/>
          <w:lang w:val="sk-SK" w:eastAsia="cs-CZ"/>
        </w:rPr>
        <w:t xml:space="preserve">vedúca oddelenia rozpočtu </w:t>
      </w:r>
      <w:r w:rsidRPr="005F6BB4">
        <w:rPr>
          <w:rFonts w:ascii="Calibri" w:hAnsi="Calibri" w:cs="Arial"/>
          <w:b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b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>referent rozpočtu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>
        <w:rPr>
          <w:rFonts w:ascii="Calibri" w:hAnsi="Calibri" w:cs="Arial"/>
          <w:sz w:val="18"/>
          <w:szCs w:val="18"/>
          <w:lang w:val="sk-SK" w:eastAsia="cs-CZ"/>
        </w:rPr>
        <w:t xml:space="preserve">    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>referent rozpočtu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>
        <w:rPr>
          <w:rFonts w:ascii="Calibri" w:hAnsi="Calibri" w:cs="Arial"/>
          <w:sz w:val="18"/>
          <w:szCs w:val="18"/>
          <w:lang w:val="sk-SK" w:eastAsia="cs-CZ"/>
        </w:rPr>
        <w:t xml:space="preserve">    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>referent rozpočtu</w:t>
      </w:r>
    </w:p>
    <w:p w:rsidR="00E46AC4" w:rsidRPr="005F6BB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 w:cs="Arial"/>
          <w:sz w:val="18"/>
          <w:szCs w:val="18"/>
          <w:lang w:val="sk-SK" w:eastAsia="cs-CZ"/>
        </w:rPr>
      </w:pPr>
    </w:p>
    <w:p w:rsidR="00E46AC4" w:rsidRPr="005F6BB4" w:rsidRDefault="00E46AC4" w:rsidP="00E46AC4">
      <w:pPr>
        <w:pStyle w:val="Zarkazkladnhotextu"/>
        <w:rPr>
          <w:rFonts w:ascii="Calibri" w:hAnsi="Calibri"/>
          <w:b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  <w:t>Ing. Marek Vlčej</w:t>
      </w:r>
      <w:r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ab/>
        <w:t xml:space="preserve">                 Ing. Eva Zubčáková</w:t>
      </w:r>
      <w:r w:rsidRPr="005F6BB4">
        <w:rPr>
          <w:rFonts w:ascii="Calibri" w:hAnsi="Calibri"/>
          <w:b/>
          <w:sz w:val="18"/>
          <w:szCs w:val="18"/>
        </w:rPr>
        <w:tab/>
      </w:r>
      <w:r w:rsidRPr="005F6BB4"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 xml:space="preserve">    </w:t>
      </w:r>
      <w:r w:rsidR="00DC775C">
        <w:rPr>
          <w:rFonts w:ascii="Calibri" w:hAnsi="Calibri"/>
          <w:b/>
          <w:sz w:val="18"/>
          <w:szCs w:val="18"/>
        </w:rPr>
        <w:t>Mgr</w:t>
      </w:r>
      <w:r>
        <w:rPr>
          <w:rFonts w:ascii="Calibri" w:hAnsi="Calibri"/>
          <w:b/>
          <w:sz w:val="18"/>
          <w:szCs w:val="18"/>
        </w:rPr>
        <w:t>. Veronika Paráková</w:t>
      </w:r>
      <w:r>
        <w:rPr>
          <w:rFonts w:ascii="Calibri" w:hAnsi="Calibri"/>
          <w:b/>
          <w:sz w:val="18"/>
          <w:szCs w:val="18"/>
        </w:rPr>
        <w:tab/>
        <w:t xml:space="preserve">    </w:t>
      </w:r>
      <w:r w:rsidRPr="005F6BB4">
        <w:rPr>
          <w:rFonts w:ascii="Calibri" w:hAnsi="Calibri"/>
          <w:b/>
          <w:sz w:val="18"/>
          <w:szCs w:val="18"/>
        </w:rPr>
        <w:t xml:space="preserve">Mária </w:t>
      </w:r>
      <w:proofErr w:type="spellStart"/>
      <w:r w:rsidRPr="005F6BB4">
        <w:rPr>
          <w:rFonts w:ascii="Calibri" w:hAnsi="Calibri"/>
          <w:b/>
          <w:sz w:val="18"/>
          <w:szCs w:val="18"/>
        </w:rPr>
        <w:t>Šimšíková</w:t>
      </w:r>
      <w:proofErr w:type="spellEnd"/>
    </w:p>
    <w:p w:rsidR="00E46AC4" w:rsidRPr="005F6BB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 w:cs="Arial"/>
          <w:sz w:val="18"/>
          <w:szCs w:val="18"/>
          <w:lang w:val="sk-SK" w:eastAsia="cs-CZ"/>
        </w:rPr>
      </w:pPr>
      <w:r w:rsidRPr="005F6BB4">
        <w:rPr>
          <w:rFonts w:ascii="Calibri" w:hAnsi="Calibri" w:cs="Arial"/>
          <w:sz w:val="18"/>
          <w:szCs w:val="18"/>
          <w:lang w:val="sk-SK" w:eastAsia="cs-CZ"/>
        </w:rPr>
        <w:t xml:space="preserve">referent rozpočtu 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  <w:t>referent rozpočtu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>
        <w:rPr>
          <w:rFonts w:ascii="Calibri" w:hAnsi="Calibri" w:cs="Arial"/>
          <w:sz w:val="18"/>
          <w:szCs w:val="18"/>
          <w:lang w:val="sk-SK" w:eastAsia="cs-CZ"/>
        </w:rPr>
        <w:t xml:space="preserve">    referent rozpočtu</w:t>
      </w:r>
      <w:r>
        <w:rPr>
          <w:rFonts w:ascii="Calibri" w:hAnsi="Calibri" w:cs="Arial"/>
          <w:sz w:val="18"/>
          <w:szCs w:val="18"/>
          <w:lang w:val="sk-SK" w:eastAsia="cs-CZ"/>
        </w:rPr>
        <w:tab/>
        <w:t xml:space="preserve">    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>referent rozpočtu</w:t>
      </w:r>
    </w:p>
    <w:p w:rsidR="00E46AC4" w:rsidRPr="005F6BB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 w:cs="Arial"/>
          <w:sz w:val="18"/>
          <w:szCs w:val="18"/>
          <w:lang w:val="sk-SK" w:eastAsia="cs-CZ"/>
        </w:rPr>
      </w:pPr>
    </w:p>
    <w:p w:rsidR="00E46AC4" w:rsidRPr="005F6BB4" w:rsidRDefault="00E46AC4" w:rsidP="00E46AC4">
      <w:pPr>
        <w:pStyle w:val="Zarkazkladnhotextu"/>
        <w:rPr>
          <w:rFonts w:ascii="Calibri" w:hAnsi="Calibri"/>
          <w:b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  <w:t>RNDr. Lenka Izakovičová</w:t>
      </w:r>
      <w:r w:rsidRPr="005F6BB4">
        <w:rPr>
          <w:rFonts w:ascii="Calibri" w:hAnsi="Calibri"/>
          <w:b/>
          <w:sz w:val="18"/>
          <w:szCs w:val="18"/>
        </w:rPr>
        <w:tab/>
      </w:r>
      <w:r w:rsidRPr="005F6BB4">
        <w:rPr>
          <w:rFonts w:ascii="Calibri" w:hAnsi="Calibri"/>
          <w:b/>
          <w:sz w:val="18"/>
          <w:szCs w:val="18"/>
        </w:rPr>
        <w:tab/>
        <w:t>Ing. Andrea Filipová</w:t>
      </w:r>
      <w:r w:rsidRPr="005F6BB4"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 xml:space="preserve">    Mgr. </w:t>
      </w:r>
      <w:r w:rsidR="00A53280">
        <w:rPr>
          <w:rFonts w:ascii="Calibri" w:hAnsi="Calibri"/>
          <w:b/>
          <w:sz w:val="18"/>
          <w:szCs w:val="18"/>
        </w:rPr>
        <w:t>Radoslav Packa</w:t>
      </w:r>
      <w:r>
        <w:rPr>
          <w:rFonts w:ascii="Calibri" w:hAnsi="Calibri"/>
          <w:b/>
          <w:sz w:val="18"/>
          <w:szCs w:val="18"/>
        </w:rPr>
        <w:tab/>
        <w:t xml:space="preserve">    </w:t>
      </w:r>
      <w:r w:rsidRPr="005F6BB4">
        <w:rPr>
          <w:rFonts w:ascii="Calibri" w:hAnsi="Calibri"/>
          <w:b/>
          <w:sz w:val="18"/>
          <w:szCs w:val="18"/>
        </w:rPr>
        <w:t>Ing. Soňa Lorenzová</w:t>
      </w:r>
    </w:p>
    <w:p w:rsidR="00E46AC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/>
          <w:sz w:val="18"/>
          <w:szCs w:val="18"/>
        </w:rPr>
      </w:pPr>
      <w:r w:rsidRPr="005F6BB4">
        <w:rPr>
          <w:rFonts w:ascii="Calibri" w:hAnsi="Calibri"/>
          <w:sz w:val="18"/>
          <w:szCs w:val="18"/>
        </w:rPr>
        <w:t>referent rozpočtu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 w:rsidRPr="005F6BB4">
        <w:rPr>
          <w:rFonts w:ascii="Calibri" w:hAnsi="Calibri"/>
          <w:sz w:val="18"/>
          <w:szCs w:val="18"/>
        </w:rPr>
        <w:t>referent rozpočtu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  <w:t xml:space="preserve">    referent rozpočtu</w:t>
      </w:r>
      <w:r>
        <w:rPr>
          <w:rFonts w:ascii="Calibri" w:hAnsi="Calibri"/>
          <w:sz w:val="18"/>
          <w:szCs w:val="18"/>
        </w:rPr>
        <w:tab/>
        <w:t xml:space="preserve">    referent rozpočtu</w:t>
      </w:r>
    </w:p>
    <w:p w:rsidR="00E46AC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/>
          <w:sz w:val="18"/>
          <w:szCs w:val="18"/>
        </w:rPr>
      </w:pPr>
    </w:p>
    <w:p w:rsidR="00E46AC4" w:rsidRDefault="00E46AC4" w:rsidP="00E46AC4">
      <w:pPr>
        <w:rPr>
          <w:rFonts w:ascii="Arial" w:hAnsi="Arial" w:cs="Arial"/>
          <w:b/>
          <w:sz w:val="36"/>
          <w:szCs w:val="36"/>
        </w:rPr>
      </w:pPr>
      <w:r>
        <w:rPr>
          <w:rFonts w:ascii="Calibri" w:hAnsi="Calibri"/>
          <w:b/>
          <w:sz w:val="18"/>
          <w:szCs w:val="18"/>
        </w:rPr>
        <w:t>Ing. Veronika Fialová</w:t>
      </w:r>
    </w:p>
    <w:p w:rsidR="00E46AC4" w:rsidRPr="00036BD8" w:rsidRDefault="00E46AC4" w:rsidP="00E46AC4">
      <w:pPr>
        <w:ind w:left="5761" w:hanging="5761"/>
        <w:rPr>
          <w:rFonts w:ascii="Arial" w:hAnsi="Arial" w:cs="Arial"/>
          <w:sz w:val="21"/>
          <w:szCs w:val="21"/>
        </w:rPr>
      </w:pPr>
      <w:r>
        <w:rPr>
          <w:rFonts w:ascii="Calibri" w:hAnsi="Calibri"/>
          <w:sz w:val="18"/>
          <w:szCs w:val="18"/>
        </w:rPr>
        <w:t xml:space="preserve">referent rozpočtu                                      </w:t>
      </w:r>
    </w:p>
    <w:p w:rsidR="00E46AC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</w:p>
    <w:p w:rsidR="00E46AC4" w:rsidRDefault="00E46AC4" w:rsidP="00E46AC4">
      <w:pPr>
        <w:shd w:val="clear" w:color="auto" w:fill="FFFFFF"/>
        <w:jc w:val="center"/>
        <w:rPr>
          <w:rFonts w:ascii="Arial" w:hAnsi="Arial" w:cs="Arial"/>
          <w:bCs/>
        </w:rPr>
      </w:pPr>
    </w:p>
    <w:p w:rsidR="00E46AC4" w:rsidRDefault="00E46AC4" w:rsidP="00E46AC4">
      <w:pPr>
        <w:shd w:val="clear" w:color="auto" w:fill="FFFFFF"/>
        <w:jc w:val="center"/>
        <w:rPr>
          <w:rFonts w:ascii="Arial" w:hAnsi="Arial" w:cs="Arial"/>
          <w:bCs/>
        </w:rPr>
      </w:pPr>
    </w:p>
    <w:p w:rsidR="00E46AC4" w:rsidRDefault="00E46AC4" w:rsidP="00E46AC4">
      <w:pPr>
        <w:shd w:val="clear" w:color="auto" w:fill="FFFFFF"/>
        <w:rPr>
          <w:rFonts w:ascii="Arial" w:hAnsi="Arial" w:cs="Arial"/>
          <w:bCs/>
        </w:rPr>
      </w:pPr>
    </w:p>
    <w:p w:rsidR="00E46AC4" w:rsidRPr="00110D38" w:rsidRDefault="00E46AC4" w:rsidP="00E46AC4">
      <w:pPr>
        <w:shd w:val="clear" w:color="auto" w:fill="FFFFFF"/>
        <w:jc w:val="center"/>
        <w:rPr>
          <w:rFonts w:ascii="Arial" w:hAnsi="Arial" w:cs="Arial"/>
          <w:bCs/>
        </w:rPr>
      </w:pPr>
      <w:r w:rsidRPr="00110D38">
        <w:rPr>
          <w:rFonts w:ascii="Arial" w:hAnsi="Arial" w:cs="Arial"/>
          <w:bCs/>
        </w:rPr>
        <w:t>Bratislava</w:t>
      </w:r>
    </w:p>
    <w:p w:rsidR="00E46AC4" w:rsidRPr="00676189" w:rsidRDefault="006C713C" w:rsidP="00676189">
      <w:pPr>
        <w:shd w:val="clear" w:color="auto" w:fill="FFFFFF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Február</w:t>
      </w:r>
      <w:r w:rsidR="00E46AC4" w:rsidRPr="00110D38">
        <w:rPr>
          <w:rFonts w:ascii="Arial" w:hAnsi="Arial" w:cs="Arial"/>
          <w:bCs/>
        </w:rPr>
        <w:t xml:space="preserve"> 201</w:t>
      </w:r>
      <w:r>
        <w:rPr>
          <w:rFonts w:ascii="Arial" w:hAnsi="Arial" w:cs="Arial"/>
          <w:bCs/>
        </w:rPr>
        <w:t>4</w:t>
      </w:r>
    </w:p>
    <w:p w:rsidR="002E2CC0" w:rsidRPr="00316921" w:rsidRDefault="002E2CC0" w:rsidP="002E2CC0">
      <w:pPr>
        <w:jc w:val="center"/>
        <w:rPr>
          <w:rFonts w:ascii="Arial" w:hAnsi="Arial" w:cs="Arial"/>
        </w:rPr>
      </w:pPr>
      <w:r w:rsidRPr="00316921">
        <w:rPr>
          <w:rFonts w:ascii="Arial" w:hAnsi="Arial" w:cs="Arial"/>
        </w:rPr>
        <w:lastRenderedPageBreak/>
        <w:t xml:space="preserve">N á v r h </w:t>
      </w:r>
      <w:r>
        <w:rPr>
          <w:rFonts w:ascii="Arial" w:hAnsi="Arial" w:cs="Arial"/>
        </w:rPr>
        <w:t xml:space="preserve"> </w:t>
      </w:r>
      <w:r w:rsidRPr="00316921">
        <w:rPr>
          <w:rFonts w:ascii="Arial" w:hAnsi="Arial" w:cs="Arial"/>
        </w:rPr>
        <w:t xml:space="preserve"> u z n e s e n i a</w:t>
      </w:r>
    </w:p>
    <w:p w:rsidR="002E2CC0" w:rsidRDefault="002E2CC0" w:rsidP="002E2CC0">
      <w:pPr>
        <w:keepNext/>
        <w:jc w:val="center"/>
        <w:outlineLvl w:val="0"/>
        <w:rPr>
          <w:rFonts w:ascii="Arial" w:hAnsi="Arial" w:cs="Arial"/>
          <w:b/>
          <w:bCs/>
          <w:kern w:val="32"/>
        </w:rPr>
      </w:pPr>
    </w:p>
    <w:p w:rsidR="002E2CC0" w:rsidRPr="00316921" w:rsidRDefault="002E2CC0" w:rsidP="002E2CC0">
      <w:pPr>
        <w:keepNext/>
        <w:jc w:val="center"/>
        <w:outlineLvl w:val="0"/>
        <w:rPr>
          <w:rFonts w:ascii="Arial" w:hAnsi="Arial" w:cs="Arial"/>
          <w:b/>
          <w:bCs/>
          <w:kern w:val="32"/>
        </w:rPr>
      </w:pPr>
      <w:r w:rsidRPr="00316921">
        <w:rPr>
          <w:rFonts w:ascii="Arial" w:hAnsi="Arial" w:cs="Arial"/>
          <w:b/>
          <w:bCs/>
          <w:kern w:val="32"/>
        </w:rPr>
        <w:t>UZNESENIE č. ...</w:t>
      </w:r>
      <w:r>
        <w:rPr>
          <w:rFonts w:ascii="Arial" w:hAnsi="Arial" w:cs="Arial"/>
          <w:b/>
          <w:bCs/>
          <w:kern w:val="32"/>
        </w:rPr>
        <w:t xml:space="preserve"> </w:t>
      </w:r>
      <w:r w:rsidRPr="00316921">
        <w:rPr>
          <w:rFonts w:ascii="Arial" w:hAnsi="Arial" w:cs="Arial"/>
          <w:b/>
          <w:bCs/>
          <w:kern w:val="32"/>
        </w:rPr>
        <w:t>/</w:t>
      </w:r>
      <w:r>
        <w:rPr>
          <w:rFonts w:ascii="Arial" w:hAnsi="Arial" w:cs="Arial"/>
          <w:b/>
          <w:bCs/>
          <w:kern w:val="32"/>
        </w:rPr>
        <w:t xml:space="preserve"> </w:t>
      </w:r>
      <w:r w:rsidRPr="00316921">
        <w:rPr>
          <w:rFonts w:ascii="Arial" w:hAnsi="Arial" w:cs="Arial"/>
          <w:b/>
          <w:bCs/>
          <w:kern w:val="32"/>
        </w:rPr>
        <w:t>201</w:t>
      </w:r>
      <w:r w:rsidR="006C713C">
        <w:rPr>
          <w:rFonts w:ascii="Arial" w:hAnsi="Arial" w:cs="Arial"/>
          <w:b/>
          <w:bCs/>
          <w:kern w:val="32"/>
        </w:rPr>
        <w:t>4</w:t>
      </w:r>
    </w:p>
    <w:p w:rsidR="002E2CC0" w:rsidRDefault="002E2CC0" w:rsidP="002E2CC0">
      <w:pPr>
        <w:jc w:val="center"/>
        <w:rPr>
          <w:rFonts w:ascii="Arial" w:hAnsi="Arial" w:cs="Arial"/>
          <w:lang w:eastAsia="cs-CZ"/>
        </w:rPr>
      </w:pPr>
      <w:r w:rsidRPr="00316921">
        <w:rPr>
          <w:rFonts w:ascii="Arial" w:hAnsi="Arial" w:cs="Arial"/>
          <w:lang w:eastAsia="cs-CZ"/>
        </w:rPr>
        <w:t xml:space="preserve">zo dňa </w:t>
      </w:r>
      <w:r w:rsidR="001A08A1">
        <w:rPr>
          <w:rFonts w:ascii="Arial" w:hAnsi="Arial" w:cs="Arial"/>
          <w:lang w:eastAsia="cs-CZ"/>
        </w:rPr>
        <w:t>......201</w:t>
      </w:r>
      <w:r w:rsidR="006C713C">
        <w:rPr>
          <w:rFonts w:ascii="Arial" w:hAnsi="Arial" w:cs="Arial"/>
          <w:lang w:eastAsia="cs-CZ"/>
        </w:rPr>
        <w:t>4</w:t>
      </w:r>
    </w:p>
    <w:p w:rsidR="002E2CC0" w:rsidRPr="00316921" w:rsidRDefault="002E2CC0" w:rsidP="002E2CC0">
      <w:pPr>
        <w:jc w:val="center"/>
        <w:rPr>
          <w:rFonts w:ascii="Arial" w:hAnsi="Arial" w:cs="Arial"/>
          <w:lang w:eastAsia="cs-CZ"/>
        </w:rPr>
      </w:pPr>
    </w:p>
    <w:p w:rsidR="002E2CC0" w:rsidRDefault="002E2CC0" w:rsidP="002E2CC0">
      <w:pPr>
        <w:jc w:val="center"/>
        <w:rPr>
          <w:rFonts w:ascii="Arial" w:hAnsi="Arial" w:cs="Arial"/>
          <w:lang w:eastAsia="cs-CZ"/>
        </w:rPr>
      </w:pPr>
      <w:r w:rsidRPr="00316921">
        <w:rPr>
          <w:rFonts w:ascii="Arial" w:hAnsi="Arial" w:cs="Arial"/>
          <w:lang w:eastAsia="cs-CZ"/>
        </w:rPr>
        <w:t>Zastupiteľstvo Bratislavského samosprávneho kraja po prerokovaní materiálu</w:t>
      </w:r>
    </w:p>
    <w:p w:rsidR="002E2CC0" w:rsidRPr="00316921" w:rsidRDefault="002E2CC0" w:rsidP="002E2CC0">
      <w:pPr>
        <w:jc w:val="center"/>
        <w:rPr>
          <w:rFonts w:ascii="Arial" w:hAnsi="Arial" w:cs="Arial"/>
          <w:lang w:eastAsia="cs-CZ"/>
        </w:rPr>
      </w:pPr>
    </w:p>
    <w:p w:rsidR="002E2CC0" w:rsidRPr="009F219A" w:rsidRDefault="002E2CC0" w:rsidP="002E2CC0">
      <w:pPr>
        <w:numPr>
          <w:ilvl w:val="0"/>
          <w:numId w:val="1"/>
        </w:num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Pr="009F219A">
        <w:rPr>
          <w:rFonts w:ascii="Arial" w:hAnsi="Arial" w:cs="Arial"/>
          <w:b/>
          <w:bCs/>
        </w:rPr>
        <w:t>s c h v a ľ u j e</w:t>
      </w:r>
    </w:p>
    <w:p w:rsidR="002E2CC0" w:rsidRDefault="002E2CC0" w:rsidP="002E2CC0">
      <w:pPr>
        <w:suppressAutoHyphens/>
        <w:autoSpaceDE w:val="0"/>
        <w:autoSpaceDN w:val="0"/>
        <w:adjustRightInd w:val="0"/>
        <w:ind w:left="-360"/>
        <w:rPr>
          <w:rFonts w:ascii="Arial" w:hAnsi="Arial" w:cs="Arial"/>
          <w:b/>
          <w:bCs/>
        </w:rPr>
      </w:pPr>
    </w:p>
    <w:p w:rsidR="003F5304" w:rsidRDefault="002E2CC0" w:rsidP="002E2CC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6921">
        <w:rPr>
          <w:rFonts w:ascii="Arial" w:hAnsi="Arial" w:cs="Arial"/>
        </w:rPr>
        <w:t xml:space="preserve">A.1. </w:t>
      </w:r>
      <w:r w:rsidR="00AD4550">
        <w:rPr>
          <w:rFonts w:ascii="Arial" w:hAnsi="Arial" w:cs="Arial"/>
        </w:rPr>
        <w:t>v súlade s § 9</w:t>
      </w:r>
      <w:r w:rsidR="00AD4550" w:rsidRPr="00764E09">
        <w:rPr>
          <w:rFonts w:ascii="Arial" w:hAnsi="Arial" w:cs="Arial"/>
        </w:rPr>
        <w:t xml:space="preserve"> </w:t>
      </w:r>
      <w:r w:rsidR="00AD4550">
        <w:rPr>
          <w:rFonts w:ascii="Arial" w:hAnsi="Arial" w:cs="Arial"/>
          <w:color w:val="000000"/>
        </w:rPr>
        <w:t xml:space="preserve">ods. 1 </w:t>
      </w:r>
      <w:r w:rsidR="00AD4550" w:rsidRPr="00764E09">
        <w:rPr>
          <w:rFonts w:ascii="Arial" w:hAnsi="Arial" w:cs="Arial"/>
        </w:rPr>
        <w:t>zákona č. 583</w:t>
      </w:r>
      <w:r w:rsidR="00AD4550">
        <w:rPr>
          <w:rFonts w:ascii="Arial" w:hAnsi="Arial" w:cs="Arial"/>
        </w:rPr>
        <w:t xml:space="preserve">/2004 Z. z. </w:t>
      </w:r>
      <w:r w:rsidR="00AD4550" w:rsidRPr="00756777">
        <w:rPr>
          <w:rFonts w:ascii="Arial" w:hAnsi="Arial" w:cs="Arial"/>
        </w:rPr>
        <w:t>o rozpočtových pravidlách územnej samosprávy a o zmene a doplnení niektorých zákonov</w:t>
      </w:r>
      <w:r w:rsidR="00AD4550" w:rsidRPr="00316921">
        <w:rPr>
          <w:rFonts w:ascii="Arial" w:hAnsi="Arial" w:cs="Arial"/>
        </w:rPr>
        <w:t xml:space="preserve"> </w:t>
      </w:r>
      <w:r w:rsidR="00CE2D1E" w:rsidRPr="00CE2D1E">
        <w:rPr>
          <w:rFonts w:ascii="Arial" w:hAnsi="Arial" w:cs="Arial"/>
        </w:rPr>
        <w:t xml:space="preserve">v znení neskorších predpisov </w:t>
      </w:r>
      <w:r w:rsidRPr="00316921">
        <w:rPr>
          <w:rFonts w:ascii="Arial" w:hAnsi="Arial" w:cs="Arial"/>
        </w:rPr>
        <w:t>rozpoč</w:t>
      </w:r>
      <w:r w:rsidR="00BD5C0E">
        <w:rPr>
          <w:rFonts w:ascii="Arial" w:hAnsi="Arial" w:cs="Arial"/>
        </w:rPr>
        <w:t>e</w:t>
      </w:r>
      <w:r w:rsidRPr="00316921">
        <w:rPr>
          <w:rFonts w:ascii="Arial" w:hAnsi="Arial" w:cs="Arial"/>
        </w:rPr>
        <w:t>t Bratislavského samosprávneho kraja na rok 201</w:t>
      </w:r>
      <w:r w:rsidR="001A08A1">
        <w:rPr>
          <w:rFonts w:ascii="Arial" w:hAnsi="Arial" w:cs="Arial"/>
        </w:rPr>
        <w:t>4</w:t>
      </w:r>
      <w:r w:rsidRPr="00316921">
        <w:rPr>
          <w:rFonts w:ascii="Arial" w:hAnsi="Arial" w:cs="Arial"/>
        </w:rPr>
        <w:t xml:space="preserve"> ako vyrovnaný</w:t>
      </w:r>
      <w:r w:rsidR="003F5304">
        <w:rPr>
          <w:rFonts w:ascii="Arial" w:hAnsi="Arial" w:cs="Arial"/>
        </w:rPr>
        <w:t xml:space="preserve"> </w:t>
      </w:r>
      <w:r w:rsidRPr="00316921">
        <w:rPr>
          <w:rFonts w:ascii="Arial" w:hAnsi="Arial" w:cs="Arial"/>
        </w:rPr>
        <w:t>nasledovne:</w:t>
      </w:r>
      <w:r w:rsidR="00E17E52">
        <w:rPr>
          <w:rFonts w:ascii="Arial" w:hAnsi="Arial" w:cs="Arial"/>
        </w:rPr>
        <w:t xml:space="preserve"> </w:t>
      </w:r>
    </w:p>
    <w:p w:rsidR="00C377C4" w:rsidRPr="00C377C4" w:rsidRDefault="00C377C4" w:rsidP="002E2CC0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0"/>
        <w:gridCol w:w="3827"/>
      </w:tblGrid>
      <w:tr w:rsidR="00AF3787" w:rsidRPr="00AF3787" w:rsidTr="00AF3787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AF3787" w:rsidRPr="00AF3787" w:rsidRDefault="00AF3787" w:rsidP="00AF3787">
            <w:pPr>
              <w:rPr>
                <w:rFonts w:ascii="Calibri" w:hAnsi="Calibri" w:cs="Calibri"/>
                <w:color w:val="FFFFFF"/>
                <w:sz w:val="20"/>
                <w:szCs w:val="20"/>
              </w:rPr>
            </w:pPr>
            <w:r w:rsidRPr="00AF3787">
              <w:rPr>
                <w:rFonts w:ascii="Calibri" w:hAnsi="Calibri" w:cs="Calibri"/>
                <w:color w:val="FFFFFF"/>
                <w:sz w:val="20"/>
                <w:szCs w:val="20"/>
              </w:rPr>
              <w:t>Ukazovateľ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vAlign w:val="center"/>
            <w:hideMark/>
          </w:tcPr>
          <w:p w:rsidR="00AF3787" w:rsidRPr="00AF3787" w:rsidRDefault="00A53280" w:rsidP="00A53280">
            <w:pPr>
              <w:jc w:val="center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color w:val="FFFFFF"/>
                <w:sz w:val="20"/>
                <w:szCs w:val="20"/>
              </w:rPr>
              <w:t xml:space="preserve">                               </w:t>
            </w:r>
            <w:r w:rsidR="00AF3787" w:rsidRPr="00AF3787">
              <w:rPr>
                <w:rFonts w:ascii="Calibri" w:hAnsi="Calibri" w:cs="Calibri"/>
                <w:color w:val="FFFFFF"/>
                <w:sz w:val="20"/>
                <w:szCs w:val="20"/>
              </w:rPr>
              <w:t>Návrh rozpočtu na rok 201</w:t>
            </w:r>
            <w:r>
              <w:rPr>
                <w:rFonts w:ascii="Calibri" w:hAnsi="Calibri" w:cs="Calibri"/>
                <w:color w:val="FFFFFF"/>
                <w:sz w:val="20"/>
                <w:szCs w:val="20"/>
              </w:rPr>
              <w:t>4</w:t>
            </w:r>
            <w:r w:rsidR="00AF3787" w:rsidRPr="00AF3787">
              <w:rPr>
                <w:rFonts w:ascii="Calibri" w:hAnsi="Calibri" w:cs="Calibri"/>
                <w:color w:val="FFFFFF"/>
                <w:sz w:val="20"/>
                <w:szCs w:val="20"/>
              </w:rPr>
              <w:t xml:space="preserve"> </w:t>
            </w:r>
          </w:p>
        </w:tc>
      </w:tr>
      <w:tr w:rsidR="008406F3" w:rsidRPr="00AF3787" w:rsidTr="00583C4F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8406F3" w:rsidRPr="00AF3787" w:rsidRDefault="008406F3" w:rsidP="00AF378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F3787">
              <w:rPr>
                <w:rFonts w:ascii="Calibri" w:hAnsi="Calibri" w:cs="Calibri"/>
                <w:color w:val="000000"/>
                <w:sz w:val="20"/>
                <w:szCs w:val="20"/>
              </w:rPr>
              <w:t>Bežné príjmy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984C45" w:rsidRDefault="00132C5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32C50">
              <w:rPr>
                <w:rFonts w:ascii="Calibri" w:hAnsi="Calibri" w:cs="Calibri"/>
                <w:sz w:val="20"/>
                <w:szCs w:val="20"/>
              </w:rPr>
              <w:t xml:space="preserve">115 281 198,65  </w:t>
            </w:r>
          </w:p>
        </w:tc>
      </w:tr>
      <w:tr w:rsidR="008406F3" w:rsidRPr="00AF3787" w:rsidTr="00583C4F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8406F3" w:rsidRPr="00AF3787" w:rsidRDefault="008406F3" w:rsidP="00AF378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F3787">
              <w:rPr>
                <w:rFonts w:ascii="Calibri" w:hAnsi="Calibri" w:cs="Calibri"/>
                <w:color w:val="000000"/>
                <w:sz w:val="20"/>
                <w:szCs w:val="20"/>
              </w:rPr>
              <w:t>Bežné výdavky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984C45" w:rsidRDefault="00132C5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32C50">
              <w:rPr>
                <w:rFonts w:ascii="Calibri" w:hAnsi="Calibri" w:cs="Calibri"/>
                <w:sz w:val="20"/>
                <w:szCs w:val="20"/>
              </w:rPr>
              <w:t xml:space="preserve">109 664 020,35  </w:t>
            </w:r>
          </w:p>
        </w:tc>
      </w:tr>
      <w:tr w:rsidR="008406F3" w:rsidRPr="00AF3787" w:rsidTr="00583C4F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8406F3" w:rsidRPr="00AF3787" w:rsidRDefault="008406F3" w:rsidP="00AF378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F3787">
              <w:rPr>
                <w:rFonts w:ascii="Calibri" w:hAnsi="Calibri" w:cs="Calibri"/>
                <w:color w:val="000000"/>
                <w:sz w:val="20"/>
                <w:szCs w:val="20"/>
              </w:rPr>
              <w:t>Bilancia bežného rozpočtu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8406F3" w:rsidRPr="00984C45" w:rsidRDefault="008406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84C45">
              <w:rPr>
                <w:rFonts w:ascii="Calibri" w:hAnsi="Calibri" w:cs="Calibri"/>
                <w:sz w:val="20"/>
                <w:szCs w:val="20"/>
              </w:rPr>
              <w:t xml:space="preserve">5 617 178,30  </w:t>
            </w:r>
          </w:p>
        </w:tc>
      </w:tr>
      <w:tr w:rsidR="008406F3" w:rsidRPr="00AF3787" w:rsidTr="00583C4F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8406F3" w:rsidRPr="00AF3787" w:rsidRDefault="008406F3" w:rsidP="00AF378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F3787">
              <w:rPr>
                <w:rFonts w:ascii="Calibri" w:hAnsi="Calibri" w:cs="Calibri"/>
                <w:color w:val="000000"/>
                <w:sz w:val="20"/>
                <w:szCs w:val="20"/>
              </w:rPr>
              <w:t>Kapitálové príjmy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984C45" w:rsidRDefault="008406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84C45">
              <w:rPr>
                <w:rFonts w:ascii="Calibri" w:hAnsi="Calibri" w:cs="Calibri"/>
                <w:sz w:val="20"/>
                <w:szCs w:val="20"/>
              </w:rPr>
              <w:t xml:space="preserve">9 515 997,73  </w:t>
            </w:r>
          </w:p>
        </w:tc>
      </w:tr>
      <w:tr w:rsidR="008406F3" w:rsidRPr="00AF3787" w:rsidTr="00583C4F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8406F3" w:rsidRPr="00AF3787" w:rsidRDefault="008406F3" w:rsidP="00AF378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F3787">
              <w:rPr>
                <w:rFonts w:ascii="Calibri" w:hAnsi="Calibri" w:cs="Calibri"/>
                <w:color w:val="000000"/>
                <w:sz w:val="20"/>
                <w:szCs w:val="20"/>
              </w:rPr>
              <w:t>Kapitálové výdavky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984C45" w:rsidRDefault="008406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84C45">
              <w:rPr>
                <w:rFonts w:ascii="Calibri" w:hAnsi="Calibri" w:cs="Calibri"/>
                <w:sz w:val="20"/>
                <w:szCs w:val="20"/>
              </w:rPr>
              <w:t xml:space="preserve">13 437 232,01  </w:t>
            </w:r>
          </w:p>
        </w:tc>
      </w:tr>
      <w:tr w:rsidR="008406F3" w:rsidRPr="00AF3787" w:rsidTr="00583C4F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8406F3" w:rsidRPr="00AF3787" w:rsidRDefault="008406F3" w:rsidP="00AF378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F3787">
              <w:rPr>
                <w:rFonts w:ascii="Calibri" w:hAnsi="Calibri" w:cs="Calibri"/>
                <w:color w:val="000000"/>
                <w:sz w:val="20"/>
                <w:szCs w:val="20"/>
              </w:rPr>
              <w:t>Bilancia kapitálového rozpočtu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8406F3" w:rsidRPr="00984C45" w:rsidRDefault="008406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84C45">
              <w:rPr>
                <w:rFonts w:ascii="Calibri" w:hAnsi="Calibri" w:cs="Calibri"/>
                <w:sz w:val="20"/>
                <w:szCs w:val="20"/>
              </w:rPr>
              <w:t xml:space="preserve">-3 921 234,28  </w:t>
            </w:r>
          </w:p>
        </w:tc>
      </w:tr>
      <w:tr w:rsidR="008406F3" w:rsidRPr="00AF3787" w:rsidTr="00583C4F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B8CCE4"/>
            <w:noWrap/>
            <w:vAlign w:val="center"/>
            <w:hideMark/>
          </w:tcPr>
          <w:p w:rsidR="008406F3" w:rsidRPr="00AF3787" w:rsidRDefault="008406F3" w:rsidP="00AF378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F3787">
              <w:rPr>
                <w:rFonts w:ascii="Calibri" w:hAnsi="Calibri" w:cs="Calibri"/>
                <w:color w:val="000000"/>
                <w:sz w:val="20"/>
                <w:szCs w:val="20"/>
              </w:rPr>
              <w:t>Bilancia rozpočtu celkom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B8CCE4"/>
            <w:noWrap/>
            <w:vAlign w:val="bottom"/>
            <w:hideMark/>
          </w:tcPr>
          <w:p w:rsidR="008406F3" w:rsidRPr="00984C45" w:rsidRDefault="008406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84C45">
              <w:rPr>
                <w:rFonts w:ascii="Calibri" w:hAnsi="Calibri" w:cs="Calibri"/>
                <w:sz w:val="20"/>
                <w:szCs w:val="20"/>
              </w:rPr>
              <w:t xml:space="preserve">1 695 944,02  </w:t>
            </w:r>
          </w:p>
        </w:tc>
      </w:tr>
      <w:tr w:rsidR="008406F3" w:rsidRPr="00AF3787" w:rsidTr="00583C4F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8406F3" w:rsidRPr="00AF3787" w:rsidRDefault="008406F3" w:rsidP="00AF378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F3787">
              <w:rPr>
                <w:rFonts w:ascii="Calibri" w:hAnsi="Calibri" w:cs="Calibri"/>
                <w:color w:val="000000"/>
                <w:sz w:val="20"/>
                <w:szCs w:val="20"/>
              </w:rPr>
              <w:t>Príjmové fin. operácie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984C45" w:rsidRDefault="008406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84C45">
              <w:rPr>
                <w:rFonts w:ascii="Calibri" w:hAnsi="Calibri" w:cs="Calibri"/>
                <w:sz w:val="20"/>
                <w:szCs w:val="20"/>
              </w:rPr>
              <w:t xml:space="preserve">0,00  </w:t>
            </w:r>
          </w:p>
        </w:tc>
      </w:tr>
      <w:tr w:rsidR="008406F3" w:rsidRPr="00AF3787" w:rsidTr="00583C4F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8406F3" w:rsidRPr="00AF3787" w:rsidRDefault="008406F3" w:rsidP="00AF378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F3787">
              <w:rPr>
                <w:rFonts w:ascii="Calibri" w:hAnsi="Calibri" w:cs="Calibri"/>
                <w:color w:val="000000"/>
                <w:sz w:val="20"/>
                <w:szCs w:val="20"/>
              </w:rPr>
              <w:t>Výdavkové fin. operácie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984C45" w:rsidRDefault="008406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84C45">
              <w:rPr>
                <w:rFonts w:ascii="Calibri" w:hAnsi="Calibri" w:cs="Calibri"/>
                <w:sz w:val="20"/>
                <w:szCs w:val="20"/>
              </w:rPr>
              <w:t xml:space="preserve">1 695 944,02  </w:t>
            </w:r>
          </w:p>
        </w:tc>
      </w:tr>
      <w:tr w:rsidR="008406F3" w:rsidRPr="00AF3787" w:rsidTr="00583C4F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8406F3" w:rsidRPr="00AF3787" w:rsidRDefault="008406F3" w:rsidP="00AF378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F3787">
              <w:rPr>
                <w:rFonts w:ascii="Calibri" w:hAnsi="Calibri" w:cs="Calibri"/>
                <w:color w:val="000000"/>
                <w:sz w:val="20"/>
                <w:szCs w:val="20"/>
              </w:rPr>
              <w:t>Bilancia finančných operácií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8406F3" w:rsidRPr="00984C45" w:rsidRDefault="008406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84C45">
              <w:rPr>
                <w:rFonts w:ascii="Calibri" w:hAnsi="Calibri" w:cs="Calibri"/>
                <w:sz w:val="20"/>
                <w:szCs w:val="20"/>
              </w:rPr>
              <w:t xml:space="preserve">-1 695 944,02  </w:t>
            </w:r>
          </w:p>
        </w:tc>
      </w:tr>
      <w:tr w:rsidR="008406F3" w:rsidRPr="00AF3787" w:rsidTr="00F609E0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6F3" w:rsidRPr="00AF3787" w:rsidRDefault="008406F3" w:rsidP="00AF378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F3787">
              <w:rPr>
                <w:rFonts w:ascii="Calibri" w:hAnsi="Calibri" w:cs="Calibri"/>
                <w:color w:val="000000"/>
                <w:sz w:val="20"/>
                <w:szCs w:val="20"/>
              </w:rPr>
              <w:t>Príjmy a príjmové fin. operácie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984C45" w:rsidRDefault="00132C5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32C50">
              <w:rPr>
                <w:rFonts w:ascii="Calibri" w:hAnsi="Calibri" w:cs="Calibri"/>
                <w:sz w:val="20"/>
                <w:szCs w:val="20"/>
              </w:rPr>
              <w:t xml:space="preserve">124 797 196,38  </w:t>
            </w:r>
          </w:p>
        </w:tc>
      </w:tr>
      <w:tr w:rsidR="008406F3" w:rsidRPr="00AF3787" w:rsidTr="00F609E0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6F3" w:rsidRPr="00AF3787" w:rsidRDefault="008406F3" w:rsidP="00AF378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F3787">
              <w:rPr>
                <w:rFonts w:ascii="Calibri" w:hAnsi="Calibri" w:cs="Calibri"/>
                <w:color w:val="000000"/>
                <w:sz w:val="20"/>
                <w:szCs w:val="20"/>
              </w:rPr>
              <w:t>Výdavky a výdavkové fin. operácie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984C45" w:rsidRDefault="00132C5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32C50">
              <w:rPr>
                <w:rFonts w:ascii="Calibri" w:hAnsi="Calibri" w:cs="Calibri"/>
                <w:sz w:val="20"/>
                <w:szCs w:val="20"/>
              </w:rPr>
              <w:t xml:space="preserve">124 797 196,38  </w:t>
            </w:r>
          </w:p>
        </w:tc>
      </w:tr>
      <w:tr w:rsidR="00AF3787" w:rsidRPr="00AF3787" w:rsidTr="00AF3787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AF3787" w:rsidRPr="00AF3787" w:rsidRDefault="00AF3787" w:rsidP="00AF3787">
            <w:pPr>
              <w:rPr>
                <w:rFonts w:ascii="Calibri" w:hAnsi="Calibri" w:cs="Calibri"/>
                <w:color w:val="FFFFFF"/>
                <w:sz w:val="20"/>
                <w:szCs w:val="20"/>
              </w:rPr>
            </w:pPr>
            <w:r w:rsidRPr="00AF3787">
              <w:rPr>
                <w:rFonts w:ascii="Calibri" w:hAnsi="Calibri" w:cs="Calibri"/>
                <w:color w:val="FFFFFF"/>
                <w:sz w:val="20"/>
                <w:szCs w:val="20"/>
              </w:rPr>
              <w:t>Bilancia rozpočtu  vrátane fin. operácie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AF3787" w:rsidRPr="00984C45" w:rsidRDefault="00AF3787" w:rsidP="00AF3787">
            <w:pPr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 w:rsidRPr="00984C45">
              <w:rPr>
                <w:rFonts w:ascii="Calibri" w:hAnsi="Calibri" w:cs="Calibri"/>
                <w:color w:val="FFFFFF"/>
                <w:sz w:val="20"/>
                <w:szCs w:val="20"/>
              </w:rPr>
              <w:t xml:space="preserve">0,00 </w:t>
            </w:r>
          </w:p>
        </w:tc>
      </w:tr>
    </w:tbl>
    <w:p w:rsidR="00DC1B36" w:rsidRDefault="00DC1B36" w:rsidP="00AD4550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037BD1" w:rsidRDefault="00037BD1" w:rsidP="00AD4550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1979"/>
        <w:gridCol w:w="2268"/>
      </w:tblGrid>
      <w:tr w:rsidR="008821B5" w:rsidRPr="00037BD1" w:rsidTr="00F17BBC">
        <w:trPr>
          <w:trHeight w:val="300"/>
        </w:trPr>
        <w:tc>
          <w:tcPr>
            <w:tcW w:w="484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366092" w:fill="366092"/>
            <w:noWrap/>
            <w:vAlign w:val="bottom"/>
            <w:hideMark/>
          </w:tcPr>
          <w:p w:rsidR="008821B5" w:rsidRPr="00037BD1" w:rsidRDefault="008821B5" w:rsidP="00037BD1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4247" w:type="dxa"/>
            <w:gridSpan w:val="2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8821B5" w:rsidRPr="00037BD1" w:rsidRDefault="008821B5" w:rsidP="00037BD1">
            <w:pPr>
              <w:rPr>
                <w:rFonts w:ascii="Calibri" w:hAnsi="Calibri" w:cs="Calibri"/>
                <w:color w:val="FFFFFF"/>
                <w:sz w:val="22"/>
                <w:szCs w:val="22"/>
              </w:rPr>
            </w:pPr>
            <w:r w:rsidRPr="00AF3787">
              <w:rPr>
                <w:rFonts w:ascii="Calibri" w:hAnsi="Calibri" w:cs="Calibri"/>
                <w:color w:val="FFFFFF"/>
                <w:sz w:val="20"/>
                <w:szCs w:val="20"/>
              </w:rPr>
              <w:t>Návrh rozpočtu na rok</w:t>
            </w:r>
            <w:r>
              <w:rPr>
                <w:rFonts w:ascii="Calibri" w:hAnsi="Calibri" w:cs="Calibri"/>
                <w:color w:val="FFFFFF"/>
                <w:sz w:val="20"/>
                <w:szCs w:val="20"/>
              </w:rPr>
              <w:t xml:space="preserve"> 2014</w:t>
            </w:r>
          </w:p>
        </w:tc>
      </w:tr>
      <w:tr w:rsidR="00037BD1" w:rsidRPr="00037BD1" w:rsidTr="00037BD1">
        <w:trPr>
          <w:trHeight w:val="300"/>
        </w:trPr>
        <w:tc>
          <w:tcPr>
            <w:tcW w:w="4840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037BD1" w:rsidRPr="00037BD1" w:rsidRDefault="004D644E" w:rsidP="00037BD1">
            <w:pPr>
              <w:rPr>
                <w:rFonts w:ascii="Calibri" w:hAnsi="Calibri" w:cs="Calibri"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color w:val="FFFFFF"/>
                <w:sz w:val="22"/>
                <w:szCs w:val="22"/>
              </w:rPr>
              <w:t>Programový rozpočet</w:t>
            </w:r>
          </w:p>
        </w:tc>
        <w:tc>
          <w:tcPr>
            <w:tcW w:w="1979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037BD1" w:rsidRPr="00037BD1" w:rsidRDefault="00037BD1" w:rsidP="00037BD1">
            <w:pPr>
              <w:rPr>
                <w:rFonts w:ascii="Calibri" w:hAnsi="Calibri" w:cs="Calibri"/>
                <w:color w:val="FFFFFF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FFFFFF"/>
                <w:sz w:val="22"/>
                <w:szCs w:val="22"/>
              </w:rPr>
              <w:t>Bežné výdavky</w:t>
            </w:r>
          </w:p>
        </w:tc>
        <w:tc>
          <w:tcPr>
            <w:tcW w:w="2268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037BD1" w:rsidRPr="00037BD1" w:rsidRDefault="00037BD1" w:rsidP="00037BD1">
            <w:pPr>
              <w:rPr>
                <w:rFonts w:ascii="Calibri" w:hAnsi="Calibri" w:cs="Calibri"/>
                <w:color w:val="FFFFFF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FFFFFF"/>
                <w:sz w:val="22"/>
                <w:szCs w:val="22"/>
              </w:rPr>
              <w:t>Kapitálové výdavky</w:t>
            </w:r>
          </w:p>
        </w:tc>
      </w:tr>
      <w:tr w:rsidR="00037BD1" w:rsidRPr="00037BD1" w:rsidTr="00037BD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Program 1: Plánovanie, manažment a kontrola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5 724 168,80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4 124 999,97</w:t>
            </w:r>
          </w:p>
        </w:tc>
      </w:tr>
      <w:tr w:rsidR="00037BD1" w:rsidRPr="00037BD1" w:rsidTr="00037BD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Program 2: Propagácia a marketing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450 000,00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37BD1" w:rsidRPr="00037BD1" w:rsidTr="00037BD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Program 3: Interné služby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B4F73" w:rsidP="000B4F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 w:rsidR="00037BD1" w:rsidRPr="00037BD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 w:rsidR="00037BD1"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78 078,55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4 540 232,04</w:t>
            </w:r>
          </w:p>
        </w:tc>
      </w:tr>
      <w:tr w:rsidR="00037BD1" w:rsidRPr="00037BD1" w:rsidTr="00037BD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Program 4: Cestovný ruch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328 980,00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65 000,00</w:t>
            </w:r>
          </w:p>
        </w:tc>
      </w:tr>
      <w:tr w:rsidR="00037BD1" w:rsidRPr="00037BD1" w:rsidTr="00037BD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Program 5: Bezpečnosť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1 900,00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37BD1" w:rsidRPr="00037BD1" w:rsidTr="00037BD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Program 6: Komunikácie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B4F7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8 </w:t>
            </w:r>
            <w:r w:rsidR="000B4F73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00 000,00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4 300 000,00</w:t>
            </w:r>
          </w:p>
        </w:tc>
      </w:tr>
      <w:tr w:rsidR="00037BD1" w:rsidRPr="00037BD1" w:rsidTr="00037BD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Program 7: Doprava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10 128 503,00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37BD1" w:rsidRPr="00037BD1" w:rsidTr="00037BD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Program 8: Vzdelávanie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132C50" w:rsidP="00037B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32C50">
              <w:rPr>
                <w:rFonts w:ascii="Calibri" w:hAnsi="Calibri" w:cs="Calibri"/>
                <w:color w:val="000000"/>
                <w:sz w:val="22"/>
                <w:szCs w:val="22"/>
              </w:rPr>
              <w:t>44 095 746,48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37BD1" w:rsidRPr="00037BD1" w:rsidTr="00037BD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Program 9: Šport 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323 000,00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400 000,00</w:t>
            </w:r>
          </w:p>
        </w:tc>
      </w:tr>
      <w:tr w:rsidR="00037BD1" w:rsidRPr="00037BD1" w:rsidTr="00037BD1">
        <w:trPr>
          <w:trHeight w:val="167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Program 10: Kultúra 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3 625 441,00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37BD1" w:rsidRPr="00037BD1" w:rsidTr="00037BD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Program 11: Sociálne zabezpečenie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24 940 562,52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7 000,00</w:t>
            </w:r>
          </w:p>
        </w:tc>
      </w:tr>
      <w:tr w:rsidR="00037BD1" w:rsidRPr="00037BD1" w:rsidTr="00037BD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Program 12: Zdravotníctvo 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252 400,00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37BD1" w:rsidRPr="00037BD1" w:rsidTr="00037BD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ind w:firstLineChars="100" w:firstLine="2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Program 13: Administratíva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color w:val="000000"/>
                <w:sz w:val="22"/>
                <w:szCs w:val="22"/>
              </w:rPr>
              <w:t>4 415 240,00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37BD1" w:rsidRPr="00037BD1" w:rsidTr="00037BD1">
        <w:trPr>
          <w:trHeight w:val="282"/>
        </w:trPr>
        <w:tc>
          <w:tcPr>
            <w:tcW w:w="4840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Celkový súčet</w:t>
            </w:r>
          </w:p>
        </w:tc>
        <w:tc>
          <w:tcPr>
            <w:tcW w:w="1979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132C50" w:rsidP="00037B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32C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109 664 020,35</w:t>
            </w:r>
          </w:p>
        </w:tc>
        <w:tc>
          <w:tcPr>
            <w:tcW w:w="2268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BD1" w:rsidRPr="00037BD1" w:rsidRDefault="00037BD1" w:rsidP="00037BD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37BD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13 437 232,01</w:t>
            </w:r>
          </w:p>
        </w:tc>
      </w:tr>
    </w:tbl>
    <w:p w:rsidR="00037BD1" w:rsidRDefault="00037BD1" w:rsidP="00AD4550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037BD1" w:rsidRDefault="00037BD1" w:rsidP="00AD4550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8821B5" w:rsidRDefault="008821B5" w:rsidP="00AD4550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8821B5" w:rsidRDefault="008821B5" w:rsidP="00AD4550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037BD1" w:rsidRDefault="00037BD1" w:rsidP="00AD4550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037BD1" w:rsidRDefault="00037BD1" w:rsidP="00AD4550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tbl>
      <w:tblPr>
        <w:tblW w:w="91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7"/>
        <w:gridCol w:w="4147"/>
      </w:tblGrid>
      <w:tr w:rsidR="00281390" w:rsidRPr="008821B5" w:rsidTr="00281390">
        <w:trPr>
          <w:trHeight w:val="300"/>
        </w:trPr>
        <w:tc>
          <w:tcPr>
            <w:tcW w:w="5007" w:type="dxa"/>
            <w:vMerge w:val="restart"/>
            <w:tcBorders>
              <w:top w:val="nil"/>
              <w:left w:val="nil"/>
              <w:right w:val="nil"/>
            </w:tcBorders>
            <w:shd w:val="clear" w:color="366092" w:fill="366092"/>
            <w:noWrap/>
            <w:vAlign w:val="center"/>
            <w:hideMark/>
          </w:tcPr>
          <w:p w:rsidR="00281390" w:rsidRPr="008821B5" w:rsidRDefault="00281390" w:rsidP="008821B5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color w:val="FFFFFF"/>
                <w:sz w:val="22"/>
                <w:szCs w:val="22"/>
              </w:rPr>
              <w:lastRenderedPageBreak/>
              <w:t>Podľa hl. kategórie ekonomickej klasifikácie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366092" w:fill="366092"/>
            <w:noWrap/>
            <w:vAlign w:val="bottom"/>
            <w:hideMark/>
          </w:tcPr>
          <w:p w:rsidR="00281390" w:rsidRPr="008821B5" w:rsidRDefault="00281390" w:rsidP="00281390">
            <w:pPr>
              <w:jc w:val="right"/>
              <w:rPr>
                <w:rFonts w:ascii="Calibri" w:hAnsi="Calibri" w:cs="Calibri"/>
                <w:color w:val="FFFFFF"/>
                <w:sz w:val="22"/>
                <w:szCs w:val="22"/>
              </w:rPr>
            </w:pPr>
            <w:r w:rsidRPr="00AF3787">
              <w:rPr>
                <w:rFonts w:ascii="Calibri" w:hAnsi="Calibri" w:cs="Calibri"/>
                <w:color w:val="FFFFFF"/>
                <w:sz w:val="20"/>
                <w:szCs w:val="20"/>
              </w:rPr>
              <w:t>Návrh rozpočtu na rok</w:t>
            </w:r>
          </w:p>
        </w:tc>
      </w:tr>
      <w:tr w:rsidR="00281390" w:rsidRPr="008821B5" w:rsidTr="00281390">
        <w:trPr>
          <w:trHeight w:val="300"/>
        </w:trPr>
        <w:tc>
          <w:tcPr>
            <w:tcW w:w="5007" w:type="dxa"/>
            <w:vMerge/>
            <w:tcBorders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281390" w:rsidRPr="008821B5" w:rsidRDefault="00281390" w:rsidP="008821B5">
            <w:pPr>
              <w:rPr>
                <w:rFonts w:ascii="Calibri" w:hAnsi="Calibri" w:cs="Calibri"/>
                <w:color w:val="FFFFFF"/>
                <w:sz w:val="22"/>
                <w:szCs w:val="22"/>
              </w:rPr>
            </w:pPr>
          </w:p>
        </w:tc>
        <w:tc>
          <w:tcPr>
            <w:tcW w:w="4147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281390" w:rsidRPr="008821B5" w:rsidRDefault="00281390" w:rsidP="00281390">
            <w:pPr>
              <w:jc w:val="right"/>
              <w:rPr>
                <w:rFonts w:ascii="Calibri" w:hAnsi="Calibri" w:cs="Calibri"/>
                <w:color w:val="FFFFFF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FFFFFF"/>
                <w:sz w:val="22"/>
                <w:szCs w:val="22"/>
              </w:rPr>
              <w:t>2014</w:t>
            </w:r>
          </w:p>
        </w:tc>
      </w:tr>
      <w:tr w:rsidR="00281390" w:rsidRPr="008821B5" w:rsidTr="00281390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8821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100 - Daňové príjmy</w:t>
            </w:r>
            <w:r w:rsidR="00DB424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DB4244" w:rsidP="00DB424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69 390 230,12</w:t>
            </w:r>
          </w:p>
        </w:tc>
      </w:tr>
      <w:tr w:rsidR="00281390" w:rsidRPr="008821B5" w:rsidTr="00281390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8821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200 - Nedaňové príjmy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882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8 848 297,87</w:t>
            </w:r>
          </w:p>
        </w:tc>
      </w:tr>
      <w:tr w:rsidR="00281390" w:rsidRPr="008821B5" w:rsidTr="00281390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8821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300 - Granty a transfery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132C50" w:rsidP="00882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32C50">
              <w:rPr>
                <w:rFonts w:ascii="Calibri" w:hAnsi="Calibri" w:cs="Calibri"/>
                <w:color w:val="000000"/>
                <w:sz w:val="22"/>
                <w:szCs w:val="22"/>
              </w:rPr>
              <w:t>46 558 668,39</w:t>
            </w:r>
          </w:p>
        </w:tc>
      </w:tr>
      <w:tr w:rsidR="00281390" w:rsidRPr="008821B5" w:rsidTr="00281390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8821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600 - </w:t>
            </w: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Bežné výdavky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132C50" w:rsidP="00882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32C50">
              <w:rPr>
                <w:rFonts w:ascii="Calibri" w:hAnsi="Calibri" w:cs="Calibri"/>
                <w:color w:val="000000"/>
                <w:sz w:val="22"/>
                <w:szCs w:val="22"/>
              </w:rPr>
              <w:t>109 664 020,35</w:t>
            </w:r>
          </w:p>
        </w:tc>
      </w:tr>
      <w:tr w:rsidR="00281390" w:rsidRPr="008821B5" w:rsidTr="00281390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8821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700 - </w:t>
            </w: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Kapitálové výdavky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882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13 437 232,01</w:t>
            </w:r>
          </w:p>
        </w:tc>
      </w:tr>
      <w:tr w:rsidR="00281390" w:rsidRPr="008821B5" w:rsidTr="00281390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8821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800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Splácanie istín 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882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1 695 944,02</w:t>
            </w:r>
          </w:p>
        </w:tc>
      </w:tr>
    </w:tbl>
    <w:p w:rsidR="00037BD1" w:rsidRDefault="00037BD1" w:rsidP="00AD4550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037BD1" w:rsidRDefault="00037BD1" w:rsidP="00AD4550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037BD1" w:rsidRDefault="008821B5" w:rsidP="00AD455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6921">
        <w:rPr>
          <w:rFonts w:ascii="Arial" w:hAnsi="Arial" w:cs="Arial"/>
        </w:rPr>
        <w:t>A.</w:t>
      </w:r>
      <w:r>
        <w:rPr>
          <w:rFonts w:ascii="Arial" w:hAnsi="Arial" w:cs="Arial"/>
        </w:rPr>
        <w:t>2</w:t>
      </w:r>
      <w:r w:rsidRPr="003169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zmen</w:t>
      </w:r>
      <w:r w:rsidR="00C116D6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stavu </w:t>
      </w:r>
      <w:r w:rsidR="00984C45">
        <w:rPr>
          <w:rFonts w:ascii="Arial" w:hAnsi="Arial" w:cs="Arial"/>
        </w:rPr>
        <w:t xml:space="preserve">vybraných </w:t>
      </w:r>
      <w:r>
        <w:rPr>
          <w:rFonts w:ascii="Arial" w:hAnsi="Arial" w:cs="Arial"/>
        </w:rPr>
        <w:t xml:space="preserve">záväzkov a pohľadávok </w:t>
      </w:r>
      <w:r w:rsidR="00984C45">
        <w:rPr>
          <w:rFonts w:ascii="Arial" w:hAnsi="Arial" w:cs="Arial"/>
        </w:rPr>
        <w:t xml:space="preserve">podľa metodiky ESA 95 </w:t>
      </w:r>
      <w:r>
        <w:rPr>
          <w:rFonts w:ascii="Arial" w:hAnsi="Arial" w:cs="Arial"/>
        </w:rPr>
        <w:t>na rok 2014 v</w:t>
      </w:r>
      <w:r w:rsidR="00984C45">
        <w:rPr>
          <w:rFonts w:ascii="Arial" w:hAnsi="Arial" w:cs="Arial"/>
        </w:rPr>
        <w:t> </w:t>
      </w:r>
      <w:r>
        <w:rPr>
          <w:rFonts w:ascii="Arial" w:hAnsi="Arial" w:cs="Arial"/>
        </w:rPr>
        <w:t>sume</w:t>
      </w:r>
      <w:r w:rsidR="00984C45">
        <w:rPr>
          <w:rFonts w:ascii="Arial" w:hAnsi="Arial" w:cs="Arial"/>
        </w:rPr>
        <w:t xml:space="preserve"> maximálne do</w:t>
      </w:r>
      <w:r>
        <w:rPr>
          <w:rFonts w:ascii="Arial" w:hAnsi="Arial" w:cs="Arial"/>
        </w:rPr>
        <w:t xml:space="preserve"> -</w:t>
      </w:r>
      <w:r w:rsidR="00984C45">
        <w:rPr>
          <w:rFonts w:ascii="Arial" w:hAnsi="Arial" w:cs="Arial"/>
        </w:rPr>
        <w:t>1</w:t>
      </w:r>
      <w:r>
        <w:rPr>
          <w:rFonts w:ascii="Arial" w:hAnsi="Arial" w:cs="Arial"/>
        </w:rPr>
        <w:t> </w:t>
      </w:r>
      <w:r w:rsidR="00984C45">
        <w:rPr>
          <w:rFonts w:ascii="Arial" w:hAnsi="Arial" w:cs="Arial"/>
        </w:rPr>
        <w:t>154</w:t>
      </w:r>
      <w:r>
        <w:rPr>
          <w:rFonts w:ascii="Arial" w:hAnsi="Arial" w:cs="Arial"/>
        </w:rPr>
        <w:t> 000.-</w:t>
      </w:r>
      <w:r w:rsidR="00F17B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€.</w:t>
      </w:r>
    </w:p>
    <w:p w:rsidR="00FC4600" w:rsidRDefault="00FC4600" w:rsidP="00AD455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37BD1" w:rsidRDefault="00FC4600" w:rsidP="00AD4550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316921">
        <w:rPr>
          <w:rFonts w:ascii="Arial" w:hAnsi="Arial" w:cs="Arial"/>
        </w:rPr>
        <w:t>A.</w:t>
      </w:r>
      <w:r>
        <w:rPr>
          <w:rFonts w:ascii="Arial" w:hAnsi="Arial" w:cs="Arial"/>
        </w:rPr>
        <w:t>3</w:t>
      </w:r>
      <w:r w:rsidRPr="003169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použitie rezervného fondu do rozpočtu </w:t>
      </w:r>
      <w:r w:rsidRPr="00316921">
        <w:rPr>
          <w:rFonts w:ascii="Arial" w:hAnsi="Arial" w:cs="Arial"/>
        </w:rPr>
        <w:t>Bratislavského samosprávneho kraja na rok</w:t>
      </w:r>
      <w:r>
        <w:rPr>
          <w:rFonts w:ascii="Arial" w:hAnsi="Arial" w:cs="Arial"/>
        </w:rPr>
        <w:t xml:space="preserve"> 2014 maximálne do výšky 4 000 </w:t>
      </w:r>
      <w:proofErr w:type="spellStart"/>
      <w:r>
        <w:rPr>
          <w:rFonts w:ascii="Arial" w:hAnsi="Arial" w:cs="Arial"/>
        </w:rPr>
        <w:t>000</w:t>
      </w:r>
      <w:proofErr w:type="spellEnd"/>
      <w:r>
        <w:rPr>
          <w:rFonts w:ascii="Arial" w:hAnsi="Arial" w:cs="Arial"/>
        </w:rPr>
        <w:t>,- € v prípade, že sa nebudú</w:t>
      </w:r>
      <w:r w:rsidR="009D0F45">
        <w:rPr>
          <w:rFonts w:ascii="Arial" w:hAnsi="Arial" w:cs="Arial"/>
        </w:rPr>
        <w:t xml:space="preserve"> v priebehu roka</w:t>
      </w:r>
      <w:r>
        <w:rPr>
          <w:rFonts w:ascii="Arial" w:hAnsi="Arial" w:cs="Arial"/>
        </w:rPr>
        <w:t xml:space="preserve"> plniť kapitálové príjmy rozpočtu na rok 2014. </w:t>
      </w:r>
    </w:p>
    <w:p w:rsidR="00037BD1" w:rsidRPr="00C377C4" w:rsidRDefault="00037BD1" w:rsidP="00AD4550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612E4E" w:rsidRDefault="00AD4550" w:rsidP="00AD455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6921">
        <w:rPr>
          <w:rFonts w:ascii="Arial" w:hAnsi="Arial" w:cs="Arial"/>
        </w:rPr>
        <w:t>A.</w:t>
      </w:r>
      <w:r w:rsidR="00FC4600">
        <w:rPr>
          <w:rFonts w:ascii="Arial" w:hAnsi="Arial" w:cs="Arial"/>
        </w:rPr>
        <w:t>4</w:t>
      </w:r>
      <w:r w:rsidRPr="0031692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v súlade s § 9</w:t>
      </w:r>
      <w:r w:rsidRPr="00764E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ods.1 a </w:t>
      </w:r>
      <w:r>
        <w:rPr>
          <w:rFonts w:ascii="Arial" w:hAnsi="Arial" w:cs="Arial"/>
          <w:color w:val="000000"/>
        </w:rPr>
        <w:t xml:space="preserve">ods. 3 </w:t>
      </w:r>
      <w:r w:rsidRPr="00764E09">
        <w:rPr>
          <w:rFonts w:ascii="Arial" w:hAnsi="Arial" w:cs="Arial"/>
        </w:rPr>
        <w:t>zákona č. 583</w:t>
      </w:r>
      <w:r>
        <w:rPr>
          <w:rFonts w:ascii="Arial" w:hAnsi="Arial" w:cs="Arial"/>
        </w:rPr>
        <w:t xml:space="preserve">/2004 Z. z. </w:t>
      </w:r>
      <w:r w:rsidRPr="00756777">
        <w:rPr>
          <w:rFonts w:ascii="Arial" w:hAnsi="Arial" w:cs="Arial"/>
        </w:rPr>
        <w:t>o rozpočtových pravidlách územnej samosprávy a o zmene a doplnení niektorých zákonov</w:t>
      </w:r>
      <w:r w:rsidR="00CE2D1E">
        <w:rPr>
          <w:rFonts w:ascii="Arial" w:hAnsi="Arial" w:cs="Arial"/>
        </w:rPr>
        <w:t xml:space="preserve"> </w:t>
      </w:r>
      <w:r w:rsidR="00CE2D1E" w:rsidRPr="00CE2D1E">
        <w:rPr>
          <w:rFonts w:ascii="Arial" w:hAnsi="Arial" w:cs="Arial"/>
        </w:rPr>
        <w:t>v znení neskorších predpisov</w:t>
      </w:r>
      <w:r w:rsidRPr="00316921">
        <w:rPr>
          <w:rFonts w:ascii="Arial" w:hAnsi="Arial" w:cs="Arial"/>
        </w:rPr>
        <w:t xml:space="preserve"> rozpoč</w:t>
      </w:r>
      <w:r w:rsidR="00BD5C0E">
        <w:rPr>
          <w:rFonts w:ascii="Arial" w:hAnsi="Arial" w:cs="Arial"/>
        </w:rPr>
        <w:t>et</w:t>
      </w:r>
      <w:r w:rsidRPr="00316921">
        <w:rPr>
          <w:rFonts w:ascii="Arial" w:hAnsi="Arial" w:cs="Arial"/>
        </w:rPr>
        <w:t xml:space="preserve"> Bratislavského samosprávneho kraja na rok</w:t>
      </w:r>
      <w:r>
        <w:rPr>
          <w:rFonts w:ascii="Arial" w:hAnsi="Arial" w:cs="Arial"/>
        </w:rPr>
        <w:t>y</w:t>
      </w:r>
      <w:r w:rsidRPr="00316921">
        <w:rPr>
          <w:rFonts w:ascii="Arial" w:hAnsi="Arial" w:cs="Arial"/>
        </w:rPr>
        <w:t xml:space="preserve"> 201</w:t>
      </w:r>
      <w:r w:rsidR="001A08A1">
        <w:rPr>
          <w:rFonts w:ascii="Arial" w:hAnsi="Arial" w:cs="Arial"/>
        </w:rPr>
        <w:t>5</w:t>
      </w:r>
      <w:r w:rsidRPr="003169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až 201</w:t>
      </w:r>
      <w:r w:rsidR="001A08A1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</w:t>
      </w:r>
      <w:r w:rsidRPr="00316921">
        <w:rPr>
          <w:rFonts w:ascii="Arial" w:hAnsi="Arial" w:cs="Arial"/>
        </w:rPr>
        <w:t>ako vyrovnaný</w:t>
      </w:r>
      <w:r>
        <w:rPr>
          <w:rFonts w:ascii="Arial" w:hAnsi="Arial" w:cs="Arial"/>
        </w:rPr>
        <w:t xml:space="preserve"> </w:t>
      </w:r>
      <w:r w:rsidRPr="00316921">
        <w:rPr>
          <w:rFonts w:ascii="Arial" w:hAnsi="Arial" w:cs="Arial"/>
        </w:rPr>
        <w:t>nasledovne:</w:t>
      </w:r>
    </w:p>
    <w:p w:rsidR="00E17E52" w:rsidRPr="00C377C4" w:rsidRDefault="00E17E52" w:rsidP="00AD4550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tbl>
      <w:tblPr>
        <w:tblW w:w="8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2720"/>
        <w:gridCol w:w="2740"/>
      </w:tblGrid>
      <w:tr w:rsidR="00E17E52" w:rsidRPr="00E17E52" w:rsidTr="00E17E52">
        <w:trPr>
          <w:trHeight w:val="240"/>
        </w:trPr>
        <w:tc>
          <w:tcPr>
            <w:tcW w:w="350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E17E52" w:rsidRPr="00E17E52" w:rsidRDefault="00E17E52" w:rsidP="00E17E52">
            <w:pPr>
              <w:rPr>
                <w:rFonts w:ascii="Calibri" w:hAnsi="Calibri" w:cs="Calibri"/>
                <w:color w:val="FFFFFF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FFFFFF"/>
                <w:sz w:val="20"/>
                <w:szCs w:val="20"/>
              </w:rPr>
              <w:t>Ukazovateľ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vAlign w:val="bottom"/>
            <w:hideMark/>
          </w:tcPr>
          <w:p w:rsidR="00E17E52" w:rsidRPr="00E17E52" w:rsidRDefault="00E17E52" w:rsidP="00F609E0">
            <w:pPr>
              <w:jc w:val="center"/>
              <w:rPr>
                <w:rFonts w:ascii="Calibri" w:hAnsi="Calibri" w:cs="Calibri"/>
                <w:color w:val="FFFFFF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FFFFFF"/>
                <w:sz w:val="20"/>
                <w:szCs w:val="20"/>
              </w:rPr>
              <w:t>Návrh rozpočtu na rok 201</w:t>
            </w:r>
            <w:r w:rsidR="00F609E0">
              <w:rPr>
                <w:rFonts w:ascii="Calibri" w:hAnsi="Calibri" w:cs="Calibri"/>
                <w:color w:val="FFFFFF"/>
                <w:sz w:val="20"/>
                <w:szCs w:val="20"/>
              </w:rPr>
              <w:t>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vAlign w:val="bottom"/>
            <w:hideMark/>
          </w:tcPr>
          <w:p w:rsidR="00E17E52" w:rsidRPr="00E17E52" w:rsidRDefault="00E17E52" w:rsidP="00F609E0">
            <w:pPr>
              <w:jc w:val="center"/>
              <w:rPr>
                <w:rFonts w:ascii="Calibri" w:hAnsi="Calibri" w:cs="Calibri"/>
                <w:color w:val="FFFFFF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FFFFFF"/>
                <w:sz w:val="20"/>
                <w:szCs w:val="20"/>
              </w:rPr>
              <w:t>Návrh rozpočtu na rok 201</w:t>
            </w:r>
            <w:r w:rsidR="00F609E0">
              <w:rPr>
                <w:rFonts w:ascii="Calibri" w:hAnsi="Calibri" w:cs="Calibri"/>
                <w:color w:val="FFFFFF"/>
                <w:sz w:val="20"/>
                <w:szCs w:val="20"/>
              </w:rPr>
              <w:t>6</w:t>
            </w:r>
            <w:r w:rsidRPr="00E17E52">
              <w:rPr>
                <w:rFonts w:ascii="Calibri" w:hAnsi="Calibri" w:cs="Calibri"/>
                <w:color w:val="FFFFFF"/>
                <w:sz w:val="20"/>
                <w:szCs w:val="20"/>
              </w:rPr>
              <w:t xml:space="preserve"> </w:t>
            </w:r>
          </w:p>
        </w:tc>
      </w:tr>
      <w:tr w:rsidR="008406F3" w:rsidRPr="00E17E52" w:rsidTr="00E17E52">
        <w:trPr>
          <w:trHeight w:val="300"/>
        </w:trPr>
        <w:tc>
          <w:tcPr>
            <w:tcW w:w="3500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E17E52" w:rsidRDefault="008406F3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Bežné príjmy</w:t>
            </w:r>
          </w:p>
        </w:tc>
        <w:tc>
          <w:tcPr>
            <w:tcW w:w="2720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F609E0" w:rsidRDefault="008406F3" w:rsidP="0052095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9E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117 </w:t>
            </w:r>
            <w:r w:rsidR="00520959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Pr="00F609E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59 390,79  </w:t>
            </w:r>
          </w:p>
        </w:tc>
        <w:tc>
          <w:tcPr>
            <w:tcW w:w="2740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8406F3" w:rsidRDefault="008406F3" w:rsidP="0052095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406F3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520959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  <w:r w:rsidRPr="008406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520959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  <w:r w:rsidRPr="008406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44 125,71  </w:t>
            </w:r>
          </w:p>
        </w:tc>
      </w:tr>
      <w:tr w:rsidR="008406F3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E17E52" w:rsidRDefault="008406F3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Bežné výdavky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F609E0" w:rsidRDefault="008406F3" w:rsidP="0052095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9E0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  <w:r w:rsidR="00520959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  <w:r w:rsidRPr="00F609E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520959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Pr="00F609E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32 810,51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8406F3" w:rsidRDefault="008406F3" w:rsidP="0052095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406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108 </w:t>
            </w:r>
            <w:r w:rsidR="00520959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  <w:r w:rsidRPr="008406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81 511,82  </w:t>
            </w:r>
          </w:p>
        </w:tc>
      </w:tr>
      <w:tr w:rsidR="008406F3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8406F3" w:rsidRPr="00E17E52" w:rsidRDefault="008406F3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Bilancia bežného rozpočtu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8406F3" w:rsidRPr="00F609E0" w:rsidRDefault="008406F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9E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8 626 580,28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8406F3" w:rsidRPr="008406F3" w:rsidRDefault="008406F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406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11 262 613,89  </w:t>
            </w:r>
          </w:p>
        </w:tc>
      </w:tr>
      <w:tr w:rsidR="008406F3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E17E52" w:rsidRDefault="008406F3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Kapitálové príjmy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F609E0" w:rsidRDefault="008406F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9E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5 133 958,64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8406F3" w:rsidRDefault="008406F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406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4 345 000,00  </w:t>
            </w:r>
          </w:p>
        </w:tc>
      </w:tr>
      <w:tr w:rsidR="008406F3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E17E52" w:rsidRDefault="008406F3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Kapitálové výdavky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F609E0" w:rsidRDefault="008406F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9E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11 637 630,19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8406F3" w:rsidRDefault="008406F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406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13 343 454,44  </w:t>
            </w:r>
          </w:p>
        </w:tc>
      </w:tr>
      <w:tr w:rsidR="008406F3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8406F3" w:rsidRPr="00E17E52" w:rsidRDefault="008406F3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Bilancia kapitálového rozpočtu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8406F3" w:rsidRPr="00F609E0" w:rsidRDefault="008406F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9E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-6 503 671,55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8406F3" w:rsidRPr="008406F3" w:rsidRDefault="008406F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406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-8 998 454,44  </w:t>
            </w:r>
          </w:p>
        </w:tc>
      </w:tr>
      <w:tr w:rsidR="008406F3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bottom"/>
            <w:hideMark/>
          </w:tcPr>
          <w:p w:rsidR="008406F3" w:rsidRPr="00E17E52" w:rsidRDefault="008406F3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Bilancia rozpočtu celkom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bottom"/>
            <w:hideMark/>
          </w:tcPr>
          <w:p w:rsidR="008406F3" w:rsidRPr="00F609E0" w:rsidRDefault="008406F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9E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2 122 908,73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bottom"/>
            <w:hideMark/>
          </w:tcPr>
          <w:p w:rsidR="008406F3" w:rsidRPr="008406F3" w:rsidRDefault="008406F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406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2 264 159,45  </w:t>
            </w:r>
          </w:p>
        </w:tc>
      </w:tr>
      <w:tr w:rsidR="008406F3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E17E52" w:rsidRDefault="008406F3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Príjmové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F609E0" w:rsidRDefault="008406F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9E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8406F3" w:rsidRDefault="008406F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406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0,00  </w:t>
            </w:r>
          </w:p>
        </w:tc>
      </w:tr>
      <w:tr w:rsidR="008406F3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E17E52" w:rsidRDefault="008406F3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Výdavkové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F609E0" w:rsidRDefault="008406F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9E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2 122 908,73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8406F3" w:rsidRDefault="008406F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406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2 264 159,45  </w:t>
            </w:r>
          </w:p>
        </w:tc>
      </w:tr>
      <w:tr w:rsidR="008406F3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8406F3" w:rsidRPr="00E17E52" w:rsidRDefault="008406F3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Bilancia finančných operácií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8406F3" w:rsidRPr="00F609E0" w:rsidRDefault="008406F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9E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-2 122 908,73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8406F3" w:rsidRPr="008406F3" w:rsidRDefault="008406F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406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-2 264 159,45  </w:t>
            </w:r>
          </w:p>
        </w:tc>
      </w:tr>
      <w:tr w:rsidR="008406F3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E17E52" w:rsidRDefault="008406F3" w:rsidP="00E17E5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Príjmy a prijaté</w:t>
            </w: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F609E0" w:rsidRDefault="008406F3" w:rsidP="009A7FD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9E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122 </w:t>
            </w:r>
            <w:r w:rsidR="009A7FDC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  <w:r w:rsidRPr="00F609E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93 349,43  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8406F3" w:rsidRDefault="008406F3" w:rsidP="0052095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406F3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  <w:r w:rsidR="00520959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 w:rsidRPr="008406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520959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  <w:r w:rsidRPr="008406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89 125,71  </w:t>
            </w:r>
          </w:p>
        </w:tc>
      </w:tr>
      <w:tr w:rsidR="008406F3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E17E52" w:rsidRDefault="008406F3" w:rsidP="006326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>Výdavky a výd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avkové</w:t>
            </w:r>
            <w:r w:rsidRPr="00E17E5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F609E0" w:rsidRDefault="008406F3" w:rsidP="009A7FD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09E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122 </w:t>
            </w:r>
            <w:r w:rsidR="009A7FDC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  <w:r w:rsidRPr="00F609E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93 349,43  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6F3" w:rsidRPr="008406F3" w:rsidRDefault="008406F3" w:rsidP="0052095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406F3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  <w:r w:rsidR="00520959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 w:rsidRPr="008406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520959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  <w:r w:rsidRPr="008406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89 125,71  </w:t>
            </w:r>
          </w:p>
        </w:tc>
      </w:tr>
      <w:tr w:rsidR="00BC3935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935" w:rsidRPr="00E17E52" w:rsidRDefault="00BC3935" w:rsidP="0063263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935" w:rsidRPr="00F609E0" w:rsidRDefault="00BC39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935" w:rsidRPr="008406F3" w:rsidRDefault="00BC3935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E17E52" w:rsidRPr="00E17E52" w:rsidTr="00E17E5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E17E52" w:rsidRPr="00E17E52" w:rsidRDefault="00E17E52" w:rsidP="00632635">
            <w:pPr>
              <w:rPr>
                <w:rFonts w:ascii="Calibri" w:hAnsi="Calibri" w:cs="Calibri"/>
                <w:color w:val="FFFFFF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FFFFFF"/>
                <w:sz w:val="20"/>
                <w:szCs w:val="20"/>
              </w:rPr>
              <w:t>Bilancia rozpočtu  vrátane fin. op</w:t>
            </w:r>
            <w:r w:rsidR="00632635">
              <w:rPr>
                <w:rFonts w:ascii="Calibri" w:hAnsi="Calibri" w:cs="Calibri"/>
                <w:color w:val="FFFFFF"/>
                <w:sz w:val="20"/>
                <w:szCs w:val="20"/>
              </w:rPr>
              <w:t>erácie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FFFFFF"/>
                <w:sz w:val="20"/>
                <w:szCs w:val="20"/>
              </w:rPr>
              <w:t>0,00 €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E17E52" w:rsidRPr="00E17E52" w:rsidRDefault="00E17E52" w:rsidP="00E17E52">
            <w:pPr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 w:rsidRPr="00E17E52">
              <w:rPr>
                <w:rFonts w:ascii="Calibri" w:hAnsi="Calibri" w:cs="Calibri"/>
                <w:color w:val="FFFFFF"/>
                <w:sz w:val="20"/>
                <w:szCs w:val="20"/>
              </w:rPr>
              <w:t>0,00 €</w:t>
            </w:r>
          </w:p>
        </w:tc>
      </w:tr>
    </w:tbl>
    <w:p w:rsidR="00612E4E" w:rsidRDefault="00612E4E" w:rsidP="00AD455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2"/>
        <w:gridCol w:w="1737"/>
        <w:gridCol w:w="1525"/>
        <w:gridCol w:w="1499"/>
        <w:gridCol w:w="1204"/>
      </w:tblGrid>
      <w:tr w:rsidR="000B72DB" w:rsidRPr="00281390" w:rsidTr="00DC775C">
        <w:trPr>
          <w:trHeight w:val="300"/>
        </w:trPr>
        <w:tc>
          <w:tcPr>
            <w:tcW w:w="3192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366092" w:fill="366092"/>
            <w:noWrap/>
            <w:vAlign w:val="bottom"/>
            <w:hideMark/>
          </w:tcPr>
          <w:p w:rsidR="000B72DB" w:rsidRPr="00281390" w:rsidRDefault="000B72DB" w:rsidP="00281390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3262" w:type="dxa"/>
            <w:gridSpan w:val="2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0B72DB" w:rsidRPr="00281390" w:rsidRDefault="000B72DB" w:rsidP="00281390">
            <w:pPr>
              <w:rPr>
                <w:rFonts w:ascii="Calibri" w:hAnsi="Calibri" w:cs="Calibri"/>
                <w:color w:val="FFFFFF"/>
                <w:sz w:val="18"/>
                <w:szCs w:val="18"/>
              </w:rPr>
            </w:pPr>
            <w:r w:rsidRPr="00E17E52">
              <w:rPr>
                <w:rFonts w:ascii="Calibri" w:hAnsi="Calibri" w:cs="Calibri"/>
                <w:color w:val="FFFFFF"/>
                <w:sz w:val="20"/>
                <w:szCs w:val="20"/>
              </w:rPr>
              <w:t>Návrh rozpočtu na rok</w:t>
            </w:r>
            <w:r w:rsidRPr="00281390">
              <w:rPr>
                <w:rFonts w:ascii="Calibri" w:hAnsi="Calibri" w:cs="Calibri"/>
                <w:color w:val="FFFFFF"/>
                <w:sz w:val="18"/>
                <w:szCs w:val="18"/>
              </w:rPr>
              <w:t xml:space="preserve"> 2015</w:t>
            </w:r>
          </w:p>
        </w:tc>
        <w:tc>
          <w:tcPr>
            <w:tcW w:w="2703" w:type="dxa"/>
            <w:gridSpan w:val="2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0B72DB" w:rsidRPr="00281390" w:rsidRDefault="000B72DB" w:rsidP="00281390">
            <w:pPr>
              <w:rPr>
                <w:rFonts w:ascii="Calibri" w:hAnsi="Calibri" w:cs="Calibri"/>
                <w:color w:val="FFFFFF"/>
                <w:sz w:val="18"/>
                <w:szCs w:val="18"/>
              </w:rPr>
            </w:pPr>
            <w:r w:rsidRPr="00E17E52">
              <w:rPr>
                <w:rFonts w:ascii="Calibri" w:hAnsi="Calibri" w:cs="Calibri"/>
                <w:color w:val="FFFFFF"/>
                <w:sz w:val="20"/>
                <w:szCs w:val="20"/>
              </w:rPr>
              <w:t>Návrh rozpočtu na rok</w:t>
            </w:r>
            <w:r w:rsidRPr="00281390">
              <w:rPr>
                <w:rFonts w:ascii="Calibri" w:hAnsi="Calibri" w:cs="Calibri"/>
                <w:color w:val="FFFFFF"/>
                <w:sz w:val="18"/>
                <w:szCs w:val="18"/>
              </w:rPr>
              <w:t xml:space="preserve"> 2016</w:t>
            </w:r>
          </w:p>
        </w:tc>
      </w:tr>
      <w:tr w:rsidR="00281390" w:rsidRPr="00281390" w:rsidTr="000B72DB">
        <w:trPr>
          <w:trHeight w:val="300"/>
        </w:trPr>
        <w:tc>
          <w:tcPr>
            <w:tcW w:w="3192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281390" w:rsidRPr="00281390" w:rsidRDefault="00281390" w:rsidP="00281390">
            <w:pPr>
              <w:rPr>
                <w:rFonts w:ascii="Calibri" w:hAnsi="Calibri" w:cs="Calibri"/>
                <w:color w:val="FFFFFF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FFFFFF"/>
                <w:sz w:val="18"/>
                <w:szCs w:val="18"/>
              </w:rPr>
              <w:t>Menovky riadkov</w:t>
            </w:r>
          </w:p>
        </w:tc>
        <w:tc>
          <w:tcPr>
            <w:tcW w:w="1737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281390" w:rsidRPr="00281390" w:rsidRDefault="00281390" w:rsidP="00281390">
            <w:pPr>
              <w:rPr>
                <w:rFonts w:ascii="Calibri" w:hAnsi="Calibri" w:cs="Calibri"/>
                <w:color w:val="FFFFFF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FFFFFF"/>
                <w:sz w:val="18"/>
                <w:szCs w:val="18"/>
              </w:rPr>
              <w:t>Bežné výdavky</w:t>
            </w:r>
          </w:p>
        </w:tc>
        <w:tc>
          <w:tcPr>
            <w:tcW w:w="1525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281390" w:rsidRPr="00281390" w:rsidRDefault="00281390" w:rsidP="00281390">
            <w:pPr>
              <w:rPr>
                <w:rFonts w:ascii="Calibri" w:hAnsi="Calibri" w:cs="Calibri"/>
                <w:color w:val="FFFFFF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FFFFFF"/>
                <w:sz w:val="18"/>
                <w:szCs w:val="18"/>
              </w:rPr>
              <w:t>Kapitálové výdavky</w:t>
            </w:r>
          </w:p>
        </w:tc>
        <w:tc>
          <w:tcPr>
            <w:tcW w:w="1499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281390" w:rsidRPr="00281390" w:rsidRDefault="00281390" w:rsidP="00281390">
            <w:pPr>
              <w:rPr>
                <w:rFonts w:ascii="Calibri" w:hAnsi="Calibri" w:cs="Calibri"/>
                <w:color w:val="FFFFFF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FFFFFF"/>
                <w:sz w:val="18"/>
                <w:szCs w:val="18"/>
              </w:rPr>
              <w:t>Bežné výdavky</w:t>
            </w:r>
          </w:p>
        </w:tc>
        <w:tc>
          <w:tcPr>
            <w:tcW w:w="1204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281390" w:rsidRPr="00281390" w:rsidRDefault="00281390" w:rsidP="00281390">
            <w:pPr>
              <w:rPr>
                <w:rFonts w:ascii="Calibri" w:hAnsi="Calibri" w:cs="Calibri"/>
                <w:color w:val="FFFFFF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FFFFFF"/>
                <w:sz w:val="18"/>
                <w:szCs w:val="18"/>
              </w:rPr>
              <w:t>Kapitálové výdavky</w:t>
            </w:r>
          </w:p>
        </w:tc>
      </w:tr>
      <w:tr w:rsidR="00281390" w:rsidRPr="00281390" w:rsidTr="000B72DB">
        <w:trPr>
          <w:trHeight w:val="282"/>
        </w:trPr>
        <w:tc>
          <w:tcPr>
            <w:tcW w:w="3192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0B72DB">
            <w:pPr>
              <w:ind w:firstLineChars="100" w:firstLine="18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Pro</w:t>
            </w:r>
            <w:r w:rsidR="000B72DB">
              <w:rPr>
                <w:rFonts w:ascii="Calibri" w:hAnsi="Calibri" w:cs="Calibri"/>
                <w:color w:val="000000"/>
                <w:sz w:val="18"/>
                <w:szCs w:val="18"/>
              </w:rPr>
              <w:t>gram 1: Plánovanie, manažment,...</w:t>
            </w:r>
          </w:p>
        </w:tc>
        <w:tc>
          <w:tcPr>
            <w:tcW w:w="173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4 811 309,16</w:t>
            </w:r>
          </w:p>
        </w:tc>
        <w:tc>
          <w:tcPr>
            <w:tcW w:w="15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2 548 175,75</w:t>
            </w:r>
          </w:p>
        </w:tc>
        <w:tc>
          <w:tcPr>
            <w:tcW w:w="149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4 358 418,02</w:t>
            </w:r>
          </w:p>
        </w:tc>
        <w:tc>
          <w:tcPr>
            <w:tcW w:w="120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3 629 000,00</w:t>
            </w:r>
          </w:p>
        </w:tc>
      </w:tr>
      <w:tr w:rsidR="00281390" w:rsidRPr="00281390" w:rsidTr="000B72DB">
        <w:trPr>
          <w:trHeight w:val="282"/>
        </w:trPr>
        <w:tc>
          <w:tcPr>
            <w:tcW w:w="3192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ind w:firstLineChars="100" w:firstLine="18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Program 2: Propagácia a marketing</w:t>
            </w:r>
          </w:p>
        </w:tc>
        <w:tc>
          <w:tcPr>
            <w:tcW w:w="173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450 000,00</w:t>
            </w:r>
          </w:p>
        </w:tc>
        <w:tc>
          <w:tcPr>
            <w:tcW w:w="15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450 000,00</w:t>
            </w:r>
          </w:p>
        </w:tc>
        <w:tc>
          <w:tcPr>
            <w:tcW w:w="120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281390" w:rsidRPr="00281390" w:rsidTr="000B72DB">
        <w:trPr>
          <w:trHeight w:val="282"/>
        </w:trPr>
        <w:tc>
          <w:tcPr>
            <w:tcW w:w="3192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ind w:firstLineChars="100" w:firstLine="18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Program 3: Interné služby</w:t>
            </w:r>
          </w:p>
        </w:tc>
        <w:tc>
          <w:tcPr>
            <w:tcW w:w="173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6 696 832,29</w:t>
            </w:r>
          </w:p>
        </w:tc>
        <w:tc>
          <w:tcPr>
            <w:tcW w:w="15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4 327 454,44</w:t>
            </w:r>
          </w:p>
        </w:tc>
        <w:tc>
          <w:tcPr>
            <w:tcW w:w="149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6 715 332,29</w:t>
            </w:r>
          </w:p>
        </w:tc>
        <w:tc>
          <w:tcPr>
            <w:tcW w:w="120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4 327 454,44</w:t>
            </w:r>
          </w:p>
        </w:tc>
      </w:tr>
      <w:tr w:rsidR="00281390" w:rsidRPr="00281390" w:rsidTr="000B72DB">
        <w:trPr>
          <w:trHeight w:val="282"/>
        </w:trPr>
        <w:tc>
          <w:tcPr>
            <w:tcW w:w="3192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ind w:firstLineChars="100" w:firstLine="18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Program 4: Cestovný ruch</w:t>
            </w:r>
          </w:p>
        </w:tc>
        <w:tc>
          <w:tcPr>
            <w:tcW w:w="173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331 280,00</w:t>
            </w:r>
          </w:p>
        </w:tc>
        <w:tc>
          <w:tcPr>
            <w:tcW w:w="15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49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354 080,00</w:t>
            </w:r>
          </w:p>
        </w:tc>
        <w:tc>
          <w:tcPr>
            <w:tcW w:w="120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281390" w:rsidRPr="00281390" w:rsidTr="000B72DB">
        <w:trPr>
          <w:trHeight w:val="282"/>
        </w:trPr>
        <w:tc>
          <w:tcPr>
            <w:tcW w:w="3192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ind w:firstLineChars="100" w:firstLine="18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Program 5: Bezpečnosť</w:t>
            </w:r>
          </w:p>
        </w:tc>
        <w:tc>
          <w:tcPr>
            <w:tcW w:w="173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1 900,00</w:t>
            </w:r>
          </w:p>
        </w:tc>
        <w:tc>
          <w:tcPr>
            <w:tcW w:w="15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1 900,00</w:t>
            </w:r>
          </w:p>
        </w:tc>
        <w:tc>
          <w:tcPr>
            <w:tcW w:w="120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281390" w:rsidRPr="00281390" w:rsidTr="000B72DB">
        <w:trPr>
          <w:trHeight w:val="282"/>
        </w:trPr>
        <w:tc>
          <w:tcPr>
            <w:tcW w:w="3192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ind w:firstLineChars="100" w:firstLine="18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Program 6: Komunikácie</w:t>
            </w:r>
          </w:p>
        </w:tc>
        <w:tc>
          <w:tcPr>
            <w:tcW w:w="173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8 800 000,00</w:t>
            </w:r>
          </w:p>
        </w:tc>
        <w:tc>
          <w:tcPr>
            <w:tcW w:w="15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4 300 000,00</w:t>
            </w:r>
          </w:p>
        </w:tc>
        <w:tc>
          <w:tcPr>
            <w:tcW w:w="149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8 800 000,00</w:t>
            </w:r>
          </w:p>
        </w:tc>
        <w:tc>
          <w:tcPr>
            <w:tcW w:w="120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5 000 000,00</w:t>
            </w:r>
          </w:p>
        </w:tc>
      </w:tr>
      <w:tr w:rsidR="00281390" w:rsidRPr="00281390" w:rsidTr="000B72DB">
        <w:trPr>
          <w:trHeight w:val="282"/>
        </w:trPr>
        <w:tc>
          <w:tcPr>
            <w:tcW w:w="3192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ind w:firstLineChars="100" w:firstLine="18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Program 7: Doprava</w:t>
            </w:r>
          </w:p>
        </w:tc>
        <w:tc>
          <w:tcPr>
            <w:tcW w:w="173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10 128 503,00</w:t>
            </w:r>
          </w:p>
        </w:tc>
        <w:tc>
          <w:tcPr>
            <w:tcW w:w="15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10 138 503,00</w:t>
            </w:r>
          </w:p>
        </w:tc>
        <w:tc>
          <w:tcPr>
            <w:tcW w:w="120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281390" w:rsidRPr="00281390" w:rsidTr="000B72DB">
        <w:trPr>
          <w:trHeight w:val="282"/>
        </w:trPr>
        <w:tc>
          <w:tcPr>
            <w:tcW w:w="3192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ind w:firstLineChars="100" w:firstLine="18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Program 8: Vzdelávanie</w:t>
            </w:r>
          </w:p>
        </w:tc>
        <w:tc>
          <w:tcPr>
            <w:tcW w:w="173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44 272 150,48</w:t>
            </w:r>
          </w:p>
        </w:tc>
        <w:tc>
          <w:tcPr>
            <w:tcW w:w="15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44 517 249,48</w:t>
            </w:r>
          </w:p>
        </w:tc>
        <w:tc>
          <w:tcPr>
            <w:tcW w:w="120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281390" w:rsidRPr="00281390" w:rsidTr="000B72DB">
        <w:trPr>
          <w:trHeight w:val="282"/>
        </w:trPr>
        <w:tc>
          <w:tcPr>
            <w:tcW w:w="3192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ind w:firstLineChars="100" w:firstLine="18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Program 9: Šport </w:t>
            </w:r>
          </w:p>
        </w:tc>
        <w:tc>
          <w:tcPr>
            <w:tcW w:w="173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335 000,00</w:t>
            </w:r>
          </w:p>
        </w:tc>
        <w:tc>
          <w:tcPr>
            <w:tcW w:w="15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380 000,00</w:t>
            </w:r>
          </w:p>
        </w:tc>
        <w:tc>
          <w:tcPr>
            <w:tcW w:w="149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335 000,00</w:t>
            </w:r>
          </w:p>
        </w:tc>
        <w:tc>
          <w:tcPr>
            <w:tcW w:w="120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380 000,00</w:t>
            </w:r>
          </w:p>
        </w:tc>
      </w:tr>
      <w:tr w:rsidR="00281390" w:rsidRPr="00281390" w:rsidTr="000B72DB">
        <w:trPr>
          <w:trHeight w:val="282"/>
        </w:trPr>
        <w:tc>
          <w:tcPr>
            <w:tcW w:w="3192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ind w:firstLineChars="100" w:firstLine="18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Program 10: Kultúra </w:t>
            </w:r>
          </w:p>
        </w:tc>
        <w:tc>
          <w:tcPr>
            <w:tcW w:w="173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3 878 046,00</w:t>
            </w:r>
          </w:p>
        </w:tc>
        <w:tc>
          <w:tcPr>
            <w:tcW w:w="15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9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3 944 753,00</w:t>
            </w:r>
          </w:p>
        </w:tc>
        <w:tc>
          <w:tcPr>
            <w:tcW w:w="120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</w:tr>
      <w:tr w:rsidR="00281390" w:rsidRPr="00281390" w:rsidTr="000B72DB">
        <w:trPr>
          <w:trHeight w:val="282"/>
        </w:trPr>
        <w:tc>
          <w:tcPr>
            <w:tcW w:w="3192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ind w:firstLineChars="100" w:firstLine="18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Program 11: Sociálne zabezpečenie</w:t>
            </w:r>
          </w:p>
        </w:tc>
        <w:tc>
          <w:tcPr>
            <w:tcW w:w="173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52095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  <w:r w:rsidR="00520959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520959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71 116,22</w:t>
            </w:r>
          </w:p>
        </w:tc>
        <w:tc>
          <w:tcPr>
            <w:tcW w:w="15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49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52095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  <w:r w:rsidR="00520959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520959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31 834,15</w:t>
            </w:r>
          </w:p>
        </w:tc>
        <w:tc>
          <w:tcPr>
            <w:tcW w:w="120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7 000,00</w:t>
            </w:r>
          </w:p>
        </w:tc>
      </w:tr>
      <w:tr w:rsidR="00281390" w:rsidRPr="00281390" w:rsidTr="000B72DB">
        <w:trPr>
          <w:trHeight w:val="282"/>
        </w:trPr>
        <w:tc>
          <w:tcPr>
            <w:tcW w:w="3192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ind w:firstLineChars="100" w:firstLine="18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 xml:space="preserve">Program 12: Zdravotníctvo </w:t>
            </w:r>
          </w:p>
        </w:tc>
        <w:tc>
          <w:tcPr>
            <w:tcW w:w="173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252 400,00</w:t>
            </w:r>
          </w:p>
        </w:tc>
        <w:tc>
          <w:tcPr>
            <w:tcW w:w="15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252 400,00</w:t>
            </w:r>
          </w:p>
        </w:tc>
        <w:tc>
          <w:tcPr>
            <w:tcW w:w="120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281390" w:rsidRPr="00281390" w:rsidTr="000B72DB">
        <w:trPr>
          <w:trHeight w:val="282"/>
        </w:trPr>
        <w:tc>
          <w:tcPr>
            <w:tcW w:w="3192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ind w:firstLineChars="100" w:firstLine="18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Program 13: Administratíva</w:t>
            </w:r>
          </w:p>
        </w:tc>
        <w:tc>
          <w:tcPr>
            <w:tcW w:w="173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4 504 273,36</w:t>
            </w:r>
          </w:p>
        </w:tc>
        <w:tc>
          <w:tcPr>
            <w:tcW w:w="152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color w:val="000000"/>
                <w:sz w:val="18"/>
                <w:szCs w:val="18"/>
              </w:rPr>
              <w:t>4 582 041,88</w:t>
            </w:r>
          </w:p>
        </w:tc>
        <w:tc>
          <w:tcPr>
            <w:tcW w:w="120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281390" w:rsidRPr="00281390" w:rsidTr="000B72DB">
        <w:trPr>
          <w:trHeight w:val="282"/>
        </w:trPr>
        <w:tc>
          <w:tcPr>
            <w:tcW w:w="3192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Celkový súčet</w:t>
            </w:r>
          </w:p>
        </w:tc>
        <w:tc>
          <w:tcPr>
            <w:tcW w:w="1737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52095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</w:t>
            </w:r>
            <w:r w:rsidR="0052095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</w:t>
            </w:r>
            <w:r w:rsidRPr="0028139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52095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</w:t>
            </w:r>
            <w:r w:rsidRPr="0028139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32 810,51</w:t>
            </w:r>
          </w:p>
        </w:tc>
        <w:tc>
          <w:tcPr>
            <w:tcW w:w="1525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11 637 630,19</w:t>
            </w:r>
          </w:p>
        </w:tc>
        <w:tc>
          <w:tcPr>
            <w:tcW w:w="1499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52095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108 </w:t>
            </w:r>
            <w:r w:rsidR="0052095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</w:t>
            </w:r>
            <w:r w:rsidRPr="0028139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81 511,82</w:t>
            </w:r>
          </w:p>
        </w:tc>
        <w:tc>
          <w:tcPr>
            <w:tcW w:w="1204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281390" w:rsidRDefault="00281390" w:rsidP="0028139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8139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13 343 454,44</w:t>
            </w:r>
          </w:p>
        </w:tc>
      </w:tr>
    </w:tbl>
    <w:p w:rsidR="00281390" w:rsidRDefault="00281390" w:rsidP="00281390">
      <w:pPr>
        <w:suppressAutoHyphens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tbl>
      <w:tblPr>
        <w:tblW w:w="90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3"/>
        <w:gridCol w:w="2694"/>
        <w:gridCol w:w="2885"/>
      </w:tblGrid>
      <w:tr w:rsidR="00281390" w:rsidRPr="008821B5" w:rsidTr="00281390">
        <w:trPr>
          <w:trHeight w:val="305"/>
        </w:trPr>
        <w:tc>
          <w:tcPr>
            <w:tcW w:w="3483" w:type="dxa"/>
            <w:vMerge w:val="restart"/>
            <w:tcBorders>
              <w:top w:val="nil"/>
              <w:left w:val="nil"/>
              <w:right w:val="nil"/>
            </w:tcBorders>
            <w:shd w:val="clear" w:color="366092" w:fill="366092"/>
            <w:noWrap/>
            <w:vAlign w:val="bottom"/>
            <w:hideMark/>
          </w:tcPr>
          <w:p w:rsidR="00281390" w:rsidRPr="008821B5" w:rsidRDefault="00281390" w:rsidP="00281390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color w:val="FFFFFF"/>
                <w:sz w:val="22"/>
                <w:szCs w:val="22"/>
              </w:rPr>
              <w:t>Podľa hl. kategórie ekonomickej klasifikácie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366092" w:fill="366092"/>
            <w:noWrap/>
            <w:vAlign w:val="bottom"/>
            <w:hideMark/>
          </w:tcPr>
          <w:p w:rsidR="00281390" w:rsidRPr="008821B5" w:rsidRDefault="00281390" w:rsidP="00281390">
            <w:pPr>
              <w:jc w:val="right"/>
              <w:rPr>
                <w:rFonts w:ascii="Calibri" w:hAnsi="Calibri" w:cs="Calibri"/>
                <w:color w:val="FFFFFF"/>
                <w:sz w:val="22"/>
                <w:szCs w:val="22"/>
              </w:rPr>
            </w:pPr>
            <w:r w:rsidRPr="00AF3787">
              <w:rPr>
                <w:rFonts w:ascii="Calibri" w:hAnsi="Calibri" w:cs="Calibri"/>
                <w:color w:val="FFFFFF"/>
                <w:sz w:val="20"/>
                <w:szCs w:val="20"/>
              </w:rPr>
              <w:t>Návrh rozpočtu na rok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366092" w:fill="366092"/>
            <w:noWrap/>
            <w:vAlign w:val="bottom"/>
            <w:hideMark/>
          </w:tcPr>
          <w:p w:rsidR="00281390" w:rsidRPr="008821B5" w:rsidRDefault="00281390" w:rsidP="00281390">
            <w:pPr>
              <w:jc w:val="right"/>
              <w:rPr>
                <w:rFonts w:ascii="Calibri" w:hAnsi="Calibri" w:cs="Calibri"/>
                <w:color w:val="FFFFFF"/>
                <w:sz w:val="22"/>
                <w:szCs w:val="22"/>
              </w:rPr>
            </w:pPr>
            <w:r w:rsidRPr="00AF3787">
              <w:rPr>
                <w:rFonts w:ascii="Calibri" w:hAnsi="Calibri" w:cs="Calibri"/>
                <w:color w:val="FFFFFF"/>
                <w:sz w:val="20"/>
                <w:szCs w:val="20"/>
              </w:rPr>
              <w:t>Návrh rozpočtu na rok</w:t>
            </w:r>
          </w:p>
        </w:tc>
      </w:tr>
      <w:tr w:rsidR="00281390" w:rsidRPr="008821B5" w:rsidTr="00281390">
        <w:trPr>
          <w:trHeight w:val="305"/>
        </w:trPr>
        <w:tc>
          <w:tcPr>
            <w:tcW w:w="3483" w:type="dxa"/>
            <w:vMerge/>
            <w:tcBorders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281390" w:rsidRPr="008821B5" w:rsidRDefault="00281390" w:rsidP="00281390">
            <w:pPr>
              <w:rPr>
                <w:rFonts w:ascii="Calibri" w:hAnsi="Calibri" w:cs="Calibri"/>
                <w:color w:val="FFFFFF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281390" w:rsidRPr="008821B5" w:rsidRDefault="00281390" w:rsidP="00281390">
            <w:pPr>
              <w:jc w:val="right"/>
              <w:rPr>
                <w:rFonts w:ascii="Calibri" w:hAnsi="Calibri" w:cs="Calibri"/>
                <w:color w:val="FFFFFF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FFFFFF"/>
                <w:sz w:val="22"/>
                <w:szCs w:val="22"/>
              </w:rPr>
              <w:t>2015</w:t>
            </w:r>
          </w:p>
        </w:tc>
        <w:tc>
          <w:tcPr>
            <w:tcW w:w="2885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281390" w:rsidRPr="008821B5" w:rsidRDefault="00281390" w:rsidP="00281390">
            <w:pPr>
              <w:jc w:val="right"/>
              <w:rPr>
                <w:rFonts w:ascii="Calibri" w:hAnsi="Calibri" w:cs="Calibri"/>
                <w:color w:val="FFFFFF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FFFFFF"/>
                <w:sz w:val="22"/>
                <w:szCs w:val="22"/>
              </w:rPr>
              <w:t>2016</w:t>
            </w:r>
          </w:p>
        </w:tc>
      </w:tr>
      <w:tr w:rsidR="00281390" w:rsidRPr="008821B5" w:rsidTr="00281390">
        <w:trPr>
          <w:trHeight w:val="305"/>
        </w:trPr>
        <w:tc>
          <w:tcPr>
            <w:tcW w:w="348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281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100 - Daňové príjmy</w:t>
            </w:r>
          </w:p>
        </w:tc>
        <w:tc>
          <w:tcPr>
            <w:tcW w:w="269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52095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73 </w:t>
            </w:r>
            <w:r w:rsidR="00520959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01 729,55</w:t>
            </w:r>
          </w:p>
        </w:tc>
        <w:tc>
          <w:tcPr>
            <w:tcW w:w="288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52095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76 </w:t>
            </w:r>
            <w:r w:rsidR="00520959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13 265,97</w:t>
            </w:r>
          </w:p>
        </w:tc>
      </w:tr>
      <w:tr w:rsidR="00281390" w:rsidRPr="008821B5" w:rsidTr="00281390">
        <w:trPr>
          <w:trHeight w:val="305"/>
        </w:trPr>
        <w:tc>
          <w:tcPr>
            <w:tcW w:w="348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281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200 - Nedaňové príjmy</w:t>
            </w:r>
          </w:p>
        </w:tc>
        <w:tc>
          <w:tcPr>
            <w:tcW w:w="269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28139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8 825 390,58</w:t>
            </w:r>
          </w:p>
        </w:tc>
        <w:tc>
          <w:tcPr>
            <w:tcW w:w="288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28139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8 729 499,27</w:t>
            </w:r>
          </w:p>
        </w:tc>
      </w:tr>
      <w:tr w:rsidR="00281390" w:rsidRPr="008821B5" w:rsidTr="00281390">
        <w:trPr>
          <w:trHeight w:val="305"/>
        </w:trPr>
        <w:tc>
          <w:tcPr>
            <w:tcW w:w="348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281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300 - Granty a transfery</w:t>
            </w:r>
          </w:p>
        </w:tc>
        <w:tc>
          <w:tcPr>
            <w:tcW w:w="269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28139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40 366 229,30</w:t>
            </w:r>
          </w:p>
        </w:tc>
        <w:tc>
          <w:tcPr>
            <w:tcW w:w="288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28139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38 946 360,47</w:t>
            </w:r>
          </w:p>
        </w:tc>
      </w:tr>
      <w:tr w:rsidR="00281390" w:rsidRPr="008821B5" w:rsidTr="00281390">
        <w:trPr>
          <w:trHeight w:val="305"/>
        </w:trPr>
        <w:tc>
          <w:tcPr>
            <w:tcW w:w="348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281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600 - </w:t>
            </w: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Bežné výdavky</w:t>
            </w:r>
          </w:p>
        </w:tc>
        <w:tc>
          <w:tcPr>
            <w:tcW w:w="269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52095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520959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520959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32 810,51</w:t>
            </w:r>
          </w:p>
        </w:tc>
        <w:tc>
          <w:tcPr>
            <w:tcW w:w="288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52095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108 </w:t>
            </w:r>
            <w:r w:rsidR="00520959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81 511,82</w:t>
            </w:r>
          </w:p>
        </w:tc>
      </w:tr>
      <w:tr w:rsidR="00281390" w:rsidRPr="008821B5" w:rsidTr="00281390">
        <w:trPr>
          <w:trHeight w:val="305"/>
        </w:trPr>
        <w:tc>
          <w:tcPr>
            <w:tcW w:w="348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281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700 - </w:t>
            </w: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Kapitálové výdavky</w:t>
            </w:r>
          </w:p>
        </w:tc>
        <w:tc>
          <w:tcPr>
            <w:tcW w:w="269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28139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11 637 630,19</w:t>
            </w:r>
          </w:p>
        </w:tc>
        <w:tc>
          <w:tcPr>
            <w:tcW w:w="288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28139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13 343 454,44</w:t>
            </w:r>
          </w:p>
        </w:tc>
      </w:tr>
      <w:tr w:rsidR="00281390" w:rsidRPr="008821B5" w:rsidTr="00281390">
        <w:trPr>
          <w:trHeight w:val="305"/>
        </w:trPr>
        <w:tc>
          <w:tcPr>
            <w:tcW w:w="348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281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800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Splácanie istín </w:t>
            </w:r>
          </w:p>
        </w:tc>
        <w:tc>
          <w:tcPr>
            <w:tcW w:w="269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28139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2 122 908,73</w:t>
            </w:r>
          </w:p>
        </w:tc>
        <w:tc>
          <w:tcPr>
            <w:tcW w:w="288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281390" w:rsidRPr="008821B5" w:rsidRDefault="00281390" w:rsidP="0028139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21B5">
              <w:rPr>
                <w:rFonts w:ascii="Calibri" w:hAnsi="Calibri" w:cs="Calibri"/>
                <w:color w:val="000000"/>
                <w:sz w:val="22"/>
                <w:szCs w:val="22"/>
              </w:rPr>
              <w:t>2 264 159,45</w:t>
            </w:r>
          </w:p>
        </w:tc>
      </w:tr>
    </w:tbl>
    <w:p w:rsidR="0099093F" w:rsidRDefault="0099093F" w:rsidP="0099093F">
      <w:pPr>
        <w:suppressAutoHyphens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99093F" w:rsidRDefault="0099093F" w:rsidP="0099093F">
      <w:pPr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6921">
        <w:rPr>
          <w:rFonts w:ascii="Arial" w:hAnsi="Arial" w:cs="Arial"/>
        </w:rPr>
        <w:t>A.</w:t>
      </w:r>
      <w:r>
        <w:rPr>
          <w:rFonts w:ascii="Arial" w:hAnsi="Arial" w:cs="Arial"/>
        </w:rPr>
        <w:t>5</w:t>
      </w:r>
      <w:r w:rsidRPr="0031692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v nadväznosti na § 11</w:t>
      </w:r>
      <w:r w:rsidRPr="00764E09">
        <w:rPr>
          <w:rFonts w:ascii="Arial" w:hAnsi="Arial" w:cs="Arial"/>
        </w:rPr>
        <w:t xml:space="preserve"> zákona č. 583</w:t>
      </w:r>
      <w:r>
        <w:rPr>
          <w:rFonts w:ascii="Arial" w:hAnsi="Arial" w:cs="Arial"/>
        </w:rPr>
        <w:t xml:space="preserve">/2004 Z. z. </w:t>
      </w:r>
      <w:r w:rsidRPr="00756777">
        <w:rPr>
          <w:rFonts w:ascii="Arial" w:hAnsi="Arial" w:cs="Arial"/>
        </w:rPr>
        <w:t>o rozpočtových pravidlách územnej samosprávy a o zmene a doplnení niektorých zákonov</w:t>
      </w:r>
      <w:r>
        <w:rPr>
          <w:rFonts w:ascii="Arial" w:hAnsi="Arial" w:cs="Arial"/>
        </w:rPr>
        <w:t xml:space="preserve"> </w:t>
      </w:r>
      <w:r w:rsidRPr="00CE2D1E">
        <w:rPr>
          <w:rFonts w:ascii="Arial" w:hAnsi="Arial" w:cs="Arial"/>
        </w:rPr>
        <w:t>v znení neskorších predpisov</w:t>
      </w:r>
      <w:r w:rsidRPr="003169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posunutie termínu zasadnutia dotačnej komisie za účelom schválenia žiadostí o dotáciu nad 2 500 EUR </w:t>
      </w:r>
      <w:r w:rsidR="006D33AB">
        <w:rPr>
          <w:rFonts w:ascii="Arial" w:hAnsi="Arial" w:cs="Arial"/>
        </w:rPr>
        <w:t xml:space="preserve">a prerokovania týchto žiadostí Zastupiteľstvom Bratislavského samosprávneho kraja </w:t>
      </w:r>
      <w:r>
        <w:rPr>
          <w:rFonts w:ascii="Arial" w:hAnsi="Arial" w:cs="Arial"/>
        </w:rPr>
        <w:t xml:space="preserve">v zmysle Všeobecne záväzného nariadenia Bratislavského samosprávneho kraja č. 6/2012 tak, aby sa toto zasadnutie </w:t>
      </w:r>
      <w:r w:rsidR="006D33AB">
        <w:rPr>
          <w:rFonts w:ascii="Arial" w:hAnsi="Arial" w:cs="Arial"/>
        </w:rPr>
        <w:t xml:space="preserve"> a prerokovanie </w:t>
      </w:r>
      <w:r>
        <w:rPr>
          <w:rFonts w:ascii="Arial" w:hAnsi="Arial" w:cs="Arial"/>
        </w:rPr>
        <w:t>uskutočnilo do konca apríla 2014.</w:t>
      </w:r>
    </w:p>
    <w:p w:rsidR="0099093F" w:rsidRDefault="0099093F" w:rsidP="0099093F">
      <w:pPr>
        <w:suppressAutoHyphens/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</w:t>
      </w:r>
    </w:p>
    <w:p w:rsidR="002E2CC0" w:rsidRPr="00316921" w:rsidRDefault="002E2CC0" w:rsidP="002E2CC0">
      <w:pPr>
        <w:numPr>
          <w:ilvl w:val="0"/>
          <w:numId w:val="1"/>
        </w:num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Pr="00316921">
        <w:rPr>
          <w:rFonts w:ascii="Arial" w:hAnsi="Arial" w:cs="Arial"/>
          <w:b/>
          <w:bCs/>
        </w:rPr>
        <w:t>s p l n o m o c ň u j e</w:t>
      </w:r>
    </w:p>
    <w:p w:rsidR="002E2CC0" w:rsidRPr="00564F96" w:rsidRDefault="002E2CC0" w:rsidP="002E2CC0">
      <w:pPr>
        <w:suppressAutoHyphens/>
        <w:autoSpaceDE w:val="0"/>
        <w:autoSpaceDN w:val="0"/>
        <w:adjustRightInd w:val="0"/>
        <w:rPr>
          <w:b/>
          <w:bCs/>
        </w:rPr>
      </w:pPr>
    </w:p>
    <w:p w:rsidR="002E2CC0" w:rsidRPr="003A1F1C" w:rsidRDefault="002E2CC0" w:rsidP="002E2CC0">
      <w:pPr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 w:rsidRPr="00564F96">
        <w:rPr>
          <w:rFonts w:ascii="Arial" w:hAnsi="Arial" w:cs="Arial"/>
          <w:u w:val="single"/>
        </w:rPr>
        <w:t>predsedu Bratislavského samosprávneho kraja</w:t>
      </w:r>
      <w:r>
        <w:rPr>
          <w:rFonts w:ascii="Arial" w:hAnsi="Arial" w:cs="Arial"/>
          <w:u w:val="single"/>
        </w:rPr>
        <w:t xml:space="preserve"> </w:t>
      </w:r>
      <w:r w:rsidRPr="003A1F1C">
        <w:rPr>
          <w:rFonts w:ascii="Arial" w:hAnsi="Arial" w:cs="Arial"/>
          <w:u w:val="single"/>
        </w:rPr>
        <w:t>v zmysle § 11 ods. 2. písm. d) zákona č.</w:t>
      </w:r>
      <w:r>
        <w:rPr>
          <w:rFonts w:ascii="Arial" w:hAnsi="Arial" w:cs="Arial"/>
          <w:u w:val="single"/>
        </w:rPr>
        <w:t> </w:t>
      </w:r>
      <w:r w:rsidRPr="003A1F1C">
        <w:rPr>
          <w:rFonts w:ascii="Arial" w:hAnsi="Arial" w:cs="Arial"/>
          <w:u w:val="single"/>
        </w:rPr>
        <w:t>302/2001 Z. z. o samospráve vyšších územných celkov (zákon o samosprávnych krajoch) v znení neskorších predpisov:</w:t>
      </w:r>
    </w:p>
    <w:p w:rsidR="00C73E87" w:rsidRDefault="00C73E87" w:rsidP="002E2CC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E2CC0" w:rsidRDefault="002E2CC0" w:rsidP="002E2CC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B.</w:t>
      </w:r>
      <w:r w:rsidR="001767E3">
        <w:rPr>
          <w:rFonts w:ascii="Arial" w:hAnsi="Arial" w:cs="Arial"/>
        </w:rPr>
        <w:t>1</w:t>
      </w:r>
      <w:r>
        <w:rPr>
          <w:rFonts w:ascii="Arial" w:hAnsi="Arial" w:cs="Arial"/>
        </w:rPr>
        <w:t>. upresňovať v priebehu roka rozpoč</w:t>
      </w:r>
      <w:r w:rsidR="00A34F82">
        <w:rPr>
          <w:rFonts w:ascii="Arial" w:hAnsi="Arial" w:cs="Arial"/>
        </w:rPr>
        <w:t>et</w:t>
      </w:r>
      <w:r>
        <w:rPr>
          <w:rFonts w:ascii="Arial" w:hAnsi="Arial" w:cs="Arial"/>
        </w:rPr>
        <w:t xml:space="preserve"> na rok 201</w:t>
      </w:r>
      <w:r w:rsidR="001A08A1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v rámci </w:t>
      </w:r>
      <w:r w:rsidR="00A34F82">
        <w:rPr>
          <w:rFonts w:ascii="Arial" w:hAnsi="Arial" w:cs="Arial"/>
        </w:rPr>
        <w:t>hlavnej kategórie ekonomickej klasifikácie a v rámci programu</w:t>
      </w:r>
      <w:r>
        <w:rPr>
          <w:rFonts w:ascii="Arial" w:hAnsi="Arial" w:cs="Arial"/>
        </w:rPr>
        <w:t xml:space="preserve"> medzi podprogramami a prvkami,</w:t>
      </w:r>
    </w:p>
    <w:p w:rsidR="00C73E87" w:rsidRDefault="00C73E87" w:rsidP="002E2CC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E2CC0" w:rsidRDefault="002E2CC0" w:rsidP="002E2CC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84952">
        <w:rPr>
          <w:rFonts w:ascii="Arial" w:hAnsi="Arial" w:cs="Arial"/>
        </w:rPr>
        <w:t>B.</w:t>
      </w:r>
      <w:r w:rsidR="001767E3">
        <w:rPr>
          <w:rFonts w:ascii="Arial" w:hAnsi="Arial" w:cs="Arial"/>
        </w:rPr>
        <w:t>2</w:t>
      </w:r>
      <w:r w:rsidRPr="00D84952">
        <w:rPr>
          <w:rFonts w:ascii="Arial" w:hAnsi="Arial" w:cs="Arial"/>
        </w:rPr>
        <w:t xml:space="preserve">. rozpočet programov 6 - Komunikácie, 7 - Doprava a 13 - Administratíva, </w:t>
      </w:r>
      <w:r w:rsidR="00586635">
        <w:rPr>
          <w:rFonts w:ascii="Arial" w:hAnsi="Arial" w:cs="Arial"/>
        </w:rPr>
        <w:t xml:space="preserve">podprogramov 1.3 – </w:t>
      </w:r>
      <w:r w:rsidR="00586635" w:rsidRPr="00586635">
        <w:rPr>
          <w:rFonts w:ascii="Arial" w:hAnsi="Arial" w:cs="Arial"/>
        </w:rPr>
        <w:t>Územné</w:t>
      </w:r>
      <w:r w:rsidR="00586635">
        <w:rPr>
          <w:rFonts w:ascii="Arial" w:hAnsi="Arial" w:cs="Arial"/>
        </w:rPr>
        <w:t xml:space="preserve"> </w:t>
      </w:r>
      <w:r w:rsidR="00586635" w:rsidRPr="00586635">
        <w:rPr>
          <w:rFonts w:ascii="Arial" w:hAnsi="Arial" w:cs="Arial"/>
        </w:rPr>
        <w:t>plánovanie, GIS, ŽP, stratégia a riadenie projektov</w:t>
      </w:r>
      <w:r w:rsidR="00586635">
        <w:rPr>
          <w:rFonts w:ascii="Arial" w:hAnsi="Arial" w:cs="Arial"/>
        </w:rPr>
        <w:t xml:space="preserve">, 3.3 – </w:t>
      </w:r>
      <w:r w:rsidR="00586635" w:rsidRPr="00586635">
        <w:rPr>
          <w:rFonts w:ascii="Arial" w:hAnsi="Arial" w:cs="Arial"/>
        </w:rPr>
        <w:t>Majetok</w:t>
      </w:r>
      <w:r w:rsidR="00586635">
        <w:rPr>
          <w:rFonts w:ascii="Arial" w:hAnsi="Arial" w:cs="Arial"/>
        </w:rPr>
        <w:t xml:space="preserve"> </w:t>
      </w:r>
      <w:r w:rsidR="00586635" w:rsidRPr="00586635">
        <w:rPr>
          <w:rFonts w:ascii="Arial" w:hAnsi="Arial" w:cs="Arial"/>
        </w:rPr>
        <w:t xml:space="preserve">- investície, údržba </w:t>
      </w:r>
      <w:r w:rsidR="00586635">
        <w:rPr>
          <w:rFonts w:ascii="Arial" w:hAnsi="Arial" w:cs="Arial"/>
        </w:rPr>
        <w:t xml:space="preserve">a </w:t>
      </w:r>
      <w:r w:rsidRPr="00D84952">
        <w:rPr>
          <w:rFonts w:ascii="Arial" w:hAnsi="Arial" w:cs="Arial"/>
        </w:rPr>
        <w:t xml:space="preserve">podprogramu </w:t>
      </w:r>
      <w:r w:rsidR="00BE7293" w:rsidRPr="00D84952">
        <w:rPr>
          <w:rFonts w:ascii="Arial" w:hAnsi="Arial" w:cs="Arial"/>
        </w:rPr>
        <w:t xml:space="preserve">8.9 – Ostatné výdavky na školstvo a </w:t>
      </w:r>
      <w:r w:rsidRPr="00D84952">
        <w:rPr>
          <w:rFonts w:ascii="Arial" w:hAnsi="Arial" w:cs="Arial"/>
        </w:rPr>
        <w:t>11.</w:t>
      </w:r>
      <w:r w:rsidR="00BE7293" w:rsidRPr="00D84952">
        <w:rPr>
          <w:rFonts w:ascii="Arial" w:hAnsi="Arial" w:cs="Arial"/>
        </w:rPr>
        <w:t>3</w:t>
      </w:r>
      <w:r w:rsidRPr="00D84952">
        <w:rPr>
          <w:rFonts w:ascii="Arial" w:hAnsi="Arial" w:cs="Arial"/>
        </w:rPr>
        <w:t xml:space="preserve"> – </w:t>
      </w:r>
      <w:r w:rsidR="00BE7293" w:rsidRPr="00D84952">
        <w:rPr>
          <w:rFonts w:ascii="Arial" w:hAnsi="Arial" w:cs="Arial"/>
        </w:rPr>
        <w:t>Poradenstvo a m</w:t>
      </w:r>
      <w:r w:rsidRPr="00D84952">
        <w:rPr>
          <w:rFonts w:ascii="Arial" w:hAnsi="Arial" w:cs="Arial"/>
        </w:rPr>
        <w:t>anažment sociálnej infraštruktúry</w:t>
      </w:r>
      <w:r w:rsidR="00BE7293" w:rsidRPr="00D84952">
        <w:rPr>
          <w:rFonts w:ascii="Arial" w:hAnsi="Arial" w:cs="Arial"/>
        </w:rPr>
        <w:t xml:space="preserve"> </w:t>
      </w:r>
      <w:r w:rsidRPr="00D84952">
        <w:rPr>
          <w:rFonts w:ascii="Arial" w:hAnsi="Arial" w:cs="Arial"/>
        </w:rPr>
        <w:t>na rok 201</w:t>
      </w:r>
      <w:r w:rsidR="001A08A1">
        <w:rPr>
          <w:rFonts w:ascii="Arial" w:hAnsi="Arial" w:cs="Arial"/>
        </w:rPr>
        <w:t>4</w:t>
      </w:r>
      <w:r w:rsidRPr="00D84952">
        <w:rPr>
          <w:rFonts w:ascii="Arial" w:hAnsi="Arial" w:cs="Arial"/>
        </w:rPr>
        <w:t xml:space="preserve"> presúvať v priebehu rozpočtového roka podľa potreby na ostatné programy, podprogramy a prvky,</w:t>
      </w:r>
    </w:p>
    <w:p w:rsidR="00586635" w:rsidRDefault="00586635" w:rsidP="002E2CC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E2CC0" w:rsidRDefault="00586635" w:rsidP="002E2CC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B.</w:t>
      </w:r>
      <w:r w:rsidR="006C713C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2E2CC0" w:rsidRPr="00D84952">
        <w:rPr>
          <w:rFonts w:ascii="Arial" w:hAnsi="Arial" w:cs="Arial"/>
        </w:rPr>
        <w:t xml:space="preserve">v súlade s § 10 </w:t>
      </w:r>
      <w:r w:rsidR="002E2CC0" w:rsidRPr="00D84952">
        <w:rPr>
          <w:rFonts w:ascii="Arial" w:hAnsi="Arial" w:cs="Arial"/>
          <w:color w:val="000000"/>
        </w:rPr>
        <w:t xml:space="preserve">a § 14 ods. 2 písm. a) </w:t>
      </w:r>
      <w:r w:rsidR="002E2CC0" w:rsidRPr="00D84952">
        <w:rPr>
          <w:rFonts w:ascii="Arial" w:hAnsi="Arial" w:cs="Arial"/>
        </w:rPr>
        <w:t xml:space="preserve">zákona č. 583/2004 Z. z. </w:t>
      </w:r>
      <w:r w:rsidR="00756777" w:rsidRPr="00D84952">
        <w:rPr>
          <w:rFonts w:ascii="Arial" w:hAnsi="Arial" w:cs="Arial"/>
        </w:rPr>
        <w:t>o rozpočtových pravidlách územnej samosprávy a o zmene a doplnení niektorých zákonov</w:t>
      </w:r>
      <w:r w:rsidR="00CE2D1E" w:rsidRPr="00D84952">
        <w:rPr>
          <w:rFonts w:ascii="Arial" w:hAnsi="Arial" w:cs="Arial"/>
        </w:rPr>
        <w:t xml:space="preserve"> v znení neskorších predpisov</w:t>
      </w:r>
      <w:r w:rsidR="002E2CC0" w:rsidRPr="00D84952">
        <w:rPr>
          <w:rFonts w:ascii="Arial" w:hAnsi="Arial" w:cs="Arial"/>
        </w:rPr>
        <w:t xml:space="preserve"> robiť </w:t>
      </w:r>
      <w:r w:rsidR="001A08A1" w:rsidRPr="00D84952">
        <w:rPr>
          <w:rFonts w:ascii="Arial" w:hAnsi="Arial" w:cs="Arial"/>
        </w:rPr>
        <w:t xml:space="preserve">v priebehu rozpočtového roka </w:t>
      </w:r>
      <w:r w:rsidR="002E2CC0" w:rsidRPr="00D84952">
        <w:rPr>
          <w:rFonts w:ascii="Arial" w:hAnsi="Arial" w:cs="Arial"/>
        </w:rPr>
        <w:t xml:space="preserve">presuny </w:t>
      </w:r>
      <w:r w:rsidR="002E2CC0" w:rsidRPr="00D84952">
        <w:rPr>
          <w:rFonts w:ascii="Arial" w:hAnsi="Arial" w:cs="Arial"/>
          <w:color w:val="000000"/>
        </w:rPr>
        <w:t>rozpočtovaných prostriedkov v rámci schváleného rozpočtu, pričom sa nemenia celkové príjmy a celkové výdavky, t. j. robiť presuny medzi bežnými a kapitálovými výdavkami</w:t>
      </w:r>
      <w:r w:rsidR="002E2CC0" w:rsidRPr="00D84952">
        <w:rPr>
          <w:rFonts w:ascii="Arial" w:hAnsi="Arial" w:cs="Arial"/>
        </w:rPr>
        <w:t xml:space="preserve"> </w:t>
      </w:r>
      <w:r w:rsidR="00D84952">
        <w:rPr>
          <w:rFonts w:ascii="Arial" w:hAnsi="Arial" w:cs="Arial"/>
        </w:rPr>
        <w:t xml:space="preserve">v rámci programu 6 – Komunikácie, </w:t>
      </w:r>
      <w:r w:rsidR="002E2CC0" w:rsidRPr="00D84952">
        <w:rPr>
          <w:rFonts w:ascii="Arial" w:hAnsi="Arial" w:cs="Arial"/>
        </w:rPr>
        <w:t>v rámci podprogram</w:t>
      </w:r>
      <w:r w:rsidR="00D84952">
        <w:rPr>
          <w:rFonts w:ascii="Arial" w:hAnsi="Arial" w:cs="Arial"/>
        </w:rPr>
        <w:t>u</w:t>
      </w:r>
      <w:r w:rsidR="00D5394D" w:rsidRPr="00D84952">
        <w:rPr>
          <w:rFonts w:ascii="Arial" w:hAnsi="Arial" w:cs="Arial"/>
        </w:rPr>
        <w:t xml:space="preserve"> 1.1</w:t>
      </w:r>
      <w:r w:rsidR="00D84952">
        <w:rPr>
          <w:rFonts w:ascii="Arial" w:hAnsi="Arial" w:cs="Arial"/>
        </w:rPr>
        <w:t xml:space="preserve"> </w:t>
      </w:r>
      <w:r w:rsidR="00D5394D" w:rsidRPr="00D84952">
        <w:rPr>
          <w:rFonts w:ascii="Arial" w:hAnsi="Arial" w:cs="Arial"/>
        </w:rPr>
        <w:t>-</w:t>
      </w:r>
      <w:r w:rsidR="00D5394D" w:rsidRPr="00D84952">
        <w:t xml:space="preserve"> </w:t>
      </w:r>
      <w:r w:rsidR="00D5394D" w:rsidRPr="00D84952">
        <w:rPr>
          <w:rFonts w:ascii="Arial" w:hAnsi="Arial" w:cs="Arial"/>
        </w:rPr>
        <w:t>Výkon funkcie predsedu, podpredsedov a poslancov zastupiteľstva BSK</w:t>
      </w:r>
      <w:r w:rsidR="00600BF5">
        <w:rPr>
          <w:rFonts w:ascii="Arial" w:hAnsi="Arial" w:cs="Arial"/>
        </w:rPr>
        <w:t>,</w:t>
      </w:r>
      <w:r w:rsidR="00600BF5" w:rsidRPr="00600BF5">
        <w:rPr>
          <w:rFonts w:ascii="Arial" w:hAnsi="Arial" w:cs="Arial"/>
        </w:rPr>
        <w:t xml:space="preserve"> </w:t>
      </w:r>
      <w:r w:rsidR="00600BF5" w:rsidRPr="00D84952">
        <w:rPr>
          <w:rFonts w:ascii="Arial" w:hAnsi="Arial" w:cs="Arial"/>
        </w:rPr>
        <w:t>v rámci podprogram</w:t>
      </w:r>
      <w:r w:rsidR="00600BF5">
        <w:rPr>
          <w:rFonts w:ascii="Arial" w:hAnsi="Arial" w:cs="Arial"/>
        </w:rPr>
        <w:t>u</w:t>
      </w:r>
      <w:r w:rsidR="00600BF5" w:rsidRPr="00600BF5">
        <w:rPr>
          <w:rFonts w:ascii="Arial" w:hAnsi="Arial" w:cs="Arial"/>
        </w:rPr>
        <w:t xml:space="preserve"> </w:t>
      </w:r>
      <w:r w:rsidR="00600BF5">
        <w:rPr>
          <w:rFonts w:ascii="Arial" w:hAnsi="Arial" w:cs="Arial"/>
        </w:rPr>
        <w:t xml:space="preserve">1.3 – </w:t>
      </w:r>
      <w:r w:rsidR="00600BF5" w:rsidRPr="00586635">
        <w:rPr>
          <w:rFonts w:ascii="Arial" w:hAnsi="Arial" w:cs="Arial"/>
        </w:rPr>
        <w:t>Územné</w:t>
      </w:r>
      <w:r w:rsidR="00600BF5">
        <w:rPr>
          <w:rFonts w:ascii="Arial" w:hAnsi="Arial" w:cs="Arial"/>
        </w:rPr>
        <w:t xml:space="preserve"> </w:t>
      </w:r>
      <w:r w:rsidR="00600BF5" w:rsidRPr="00586635">
        <w:rPr>
          <w:rFonts w:ascii="Arial" w:hAnsi="Arial" w:cs="Arial"/>
        </w:rPr>
        <w:t>plánovanie, GIS, ŽP, stratégia a riadenie projekto</w:t>
      </w:r>
      <w:r w:rsidR="00600BF5">
        <w:rPr>
          <w:rFonts w:ascii="Arial" w:hAnsi="Arial" w:cs="Arial"/>
        </w:rPr>
        <w:t xml:space="preserve">v  a </w:t>
      </w:r>
      <w:r w:rsidR="00600BF5" w:rsidRPr="00D84952">
        <w:rPr>
          <w:rFonts w:ascii="Arial" w:hAnsi="Arial" w:cs="Arial"/>
        </w:rPr>
        <w:t xml:space="preserve">v rámci </w:t>
      </w:r>
      <w:r w:rsidR="00600BF5">
        <w:rPr>
          <w:rFonts w:ascii="Arial" w:hAnsi="Arial" w:cs="Arial"/>
        </w:rPr>
        <w:t xml:space="preserve">podprogramu 3.3: Majetok – investície, údržba </w:t>
      </w:r>
      <w:r w:rsidR="002E2CC0" w:rsidRPr="00D84952">
        <w:rPr>
          <w:rFonts w:ascii="Arial" w:hAnsi="Arial" w:cs="Arial"/>
        </w:rPr>
        <w:t>podľa potreby tak, aby bolo zabezpečené, že bežný rozpočet bude vyrovnaný alebo prebytkový</w:t>
      </w:r>
      <w:r w:rsidR="00B559F1">
        <w:rPr>
          <w:rFonts w:ascii="Arial" w:hAnsi="Arial" w:cs="Arial"/>
        </w:rPr>
        <w:t>.</w:t>
      </w:r>
      <w:r w:rsidR="002E2CC0">
        <w:rPr>
          <w:rFonts w:ascii="Arial" w:hAnsi="Arial" w:cs="Arial"/>
        </w:rPr>
        <w:t xml:space="preserve"> </w:t>
      </w:r>
    </w:p>
    <w:p w:rsidR="002E2CC0" w:rsidRDefault="002E2CC0" w:rsidP="002E2CC0">
      <w:pPr>
        <w:autoSpaceDE w:val="0"/>
        <w:autoSpaceDN w:val="0"/>
        <w:adjustRightInd w:val="0"/>
        <w:rPr>
          <w:rFonts w:ascii="Arial" w:hAnsi="Arial" w:cs="Arial"/>
        </w:rPr>
      </w:pPr>
    </w:p>
    <w:p w:rsidR="00784D97" w:rsidRDefault="00784D97" w:rsidP="002E2CC0">
      <w:pPr>
        <w:autoSpaceDE w:val="0"/>
        <w:autoSpaceDN w:val="0"/>
        <w:adjustRightInd w:val="0"/>
        <w:rPr>
          <w:rFonts w:ascii="Arial" w:hAnsi="Arial" w:cs="Arial"/>
        </w:rPr>
      </w:pPr>
    </w:p>
    <w:p w:rsidR="00784D97" w:rsidRDefault="00784D97" w:rsidP="002E2CC0">
      <w:pPr>
        <w:autoSpaceDE w:val="0"/>
        <w:autoSpaceDN w:val="0"/>
        <w:adjustRightInd w:val="0"/>
        <w:rPr>
          <w:rFonts w:ascii="Arial" w:hAnsi="Arial" w:cs="Arial"/>
        </w:rPr>
      </w:pPr>
    </w:p>
    <w:p w:rsidR="00784D97" w:rsidRDefault="00784D97" w:rsidP="002E2CC0">
      <w:pPr>
        <w:autoSpaceDE w:val="0"/>
        <w:autoSpaceDN w:val="0"/>
        <w:adjustRightInd w:val="0"/>
        <w:rPr>
          <w:rFonts w:ascii="Arial" w:hAnsi="Arial" w:cs="Arial"/>
        </w:rPr>
      </w:pPr>
    </w:p>
    <w:p w:rsidR="002E2CC0" w:rsidRDefault="002E2CC0" w:rsidP="002E2CC0">
      <w:pPr>
        <w:autoSpaceDE w:val="0"/>
        <w:autoSpaceDN w:val="0"/>
        <w:adjustRightInd w:val="0"/>
        <w:rPr>
          <w:rFonts w:ascii="Arial" w:hAnsi="Arial" w:cs="Arial"/>
        </w:rPr>
      </w:pPr>
    </w:p>
    <w:p w:rsidR="002E2CC0" w:rsidRPr="00316921" w:rsidRDefault="002E2CC0" w:rsidP="002E2CC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C</w:t>
      </w:r>
      <w:r w:rsidRPr="00316921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/>
          <w:bCs/>
        </w:rPr>
        <w:t xml:space="preserve"> u k l a d á</w:t>
      </w:r>
    </w:p>
    <w:p w:rsidR="002E2CC0" w:rsidRPr="00564F96" w:rsidRDefault="002E2CC0" w:rsidP="002E2CC0">
      <w:pPr>
        <w:autoSpaceDE w:val="0"/>
        <w:autoSpaceDN w:val="0"/>
        <w:adjustRightInd w:val="0"/>
        <w:jc w:val="center"/>
        <w:rPr>
          <w:b/>
          <w:bCs/>
        </w:rPr>
      </w:pPr>
    </w:p>
    <w:p w:rsidR="002E2CC0" w:rsidRPr="00564F96" w:rsidRDefault="002E2CC0" w:rsidP="002E2CC0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riaditeľovi</w:t>
      </w:r>
      <w:r w:rsidRPr="00564F96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 xml:space="preserve">Úradu </w:t>
      </w:r>
      <w:r w:rsidRPr="00564F96">
        <w:rPr>
          <w:rFonts w:ascii="Arial" w:hAnsi="Arial" w:cs="Arial"/>
          <w:u w:val="single"/>
        </w:rPr>
        <w:t>Bratislavského samosprávneho kraja:</w:t>
      </w:r>
    </w:p>
    <w:p w:rsidR="002E2CC0" w:rsidRDefault="002E2CC0" w:rsidP="002E2CC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zabezpečiť rozpis schváleného rozpočtu na rozpočtové organizácie a príspevkové organizácie v zriaďovateľskej pôsobnosti Bratislavského samosprávneho kraja.</w:t>
      </w:r>
    </w:p>
    <w:p w:rsidR="002E2CC0" w:rsidRDefault="002E2CC0" w:rsidP="002E2CC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E2CC0" w:rsidRPr="005D35BE" w:rsidRDefault="005D35BE" w:rsidP="005D35BE">
      <w:pPr>
        <w:jc w:val="right"/>
        <w:rPr>
          <w:rFonts w:ascii="Arial" w:hAnsi="Arial" w:cs="Arial"/>
        </w:rPr>
      </w:pPr>
      <w:r w:rsidRPr="005D35BE">
        <w:rPr>
          <w:rFonts w:ascii="Arial" w:hAnsi="Arial" w:cs="Arial"/>
        </w:rPr>
        <w:t xml:space="preserve">T: </w:t>
      </w:r>
      <w:r w:rsidR="00455FEA">
        <w:rPr>
          <w:rFonts w:ascii="Arial" w:hAnsi="Arial" w:cs="Arial"/>
        </w:rPr>
        <w:t>február</w:t>
      </w:r>
      <w:r w:rsidRPr="005D35BE">
        <w:rPr>
          <w:rFonts w:ascii="Arial" w:hAnsi="Arial" w:cs="Arial"/>
        </w:rPr>
        <w:t xml:space="preserve"> 201</w:t>
      </w:r>
      <w:r w:rsidR="001A08A1">
        <w:rPr>
          <w:rFonts w:ascii="Arial" w:hAnsi="Arial" w:cs="Arial"/>
        </w:rPr>
        <w:t>4</w:t>
      </w:r>
    </w:p>
    <w:p w:rsidR="002E2CC0" w:rsidRDefault="002E2CC0" w:rsidP="00C73E87">
      <w:pPr>
        <w:tabs>
          <w:tab w:val="left" w:pos="1254"/>
        </w:tabs>
        <w:rPr>
          <w:rFonts w:ascii="Arial" w:hAnsi="Arial" w:cs="Arial"/>
        </w:rPr>
      </w:pPr>
    </w:p>
    <w:p w:rsidR="00C73E87" w:rsidRDefault="00C73E87" w:rsidP="00C73E87">
      <w:pPr>
        <w:tabs>
          <w:tab w:val="left" w:pos="1254"/>
        </w:tabs>
        <w:rPr>
          <w:rFonts w:ascii="Arial" w:hAnsi="Arial" w:cs="Arial"/>
        </w:rPr>
      </w:pPr>
    </w:p>
    <w:p w:rsidR="002E2CC0" w:rsidRDefault="002E2CC0" w:rsidP="002E2CC0">
      <w:pPr>
        <w:tabs>
          <w:tab w:val="left" w:pos="1254"/>
        </w:tabs>
        <w:jc w:val="center"/>
        <w:rPr>
          <w:rFonts w:ascii="Arial" w:hAnsi="Arial" w:cs="Arial"/>
        </w:rPr>
      </w:pPr>
    </w:p>
    <w:p w:rsidR="00D84952" w:rsidRDefault="00D84952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784D97" w:rsidRDefault="00784D97" w:rsidP="002E2CC0">
      <w:pPr>
        <w:pStyle w:val="Nzov"/>
        <w:rPr>
          <w:rFonts w:ascii="Arial" w:hAnsi="Arial" w:cs="Arial"/>
          <w:sz w:val="24"/>
          <w:szCs w:val="24"/>
        </w:rPr>
      </w:pPr>
    </w:p>
    <w:p w:rsidR="001A08A1" w:rsidRDefault="001A08A1" w:rsidP="002E2CC0">
      <w:pPr>
        <w:pStyle w:val="Nzov"/>
        <w:rPr>
          <w:rFonts w:ascii="Arial" w:hAnsi="Arial" w:cs="Arial"/>
          <w:sz w:val="24"/>
          <w:szCs w:val="24"/>
        </w:rPr>
      </w:pPr>
    </w:p>
    <w:p w:rsidR="00D84952" w:rsidRDefault="00D84952" w:rsidP="002E2CC0">
      <w:pPr>
        <w:pStyle w:val="Nzov"/>
        <w:rPr>
          <w:rFonts w:ascii="Arial" w:hAnsi="Arial" w:cs="Arial"/>
          <w:sz w:val="24"/>
          <w:szCs w:val="24"/>
        </w:rPr>
      </w:pPr>
    </w:p>
    <w:p w:rsidR="002E2CC0" w:rsidRPr="00B559F1" w:rsidRDefault="002E2CC0" w:rsidP="002E2CC0">
      <w:pPr>
        <w:pStyle w:val="Nzov"/>
        <w:rPr>
          <w:rFonts w:asciiTheme="minorHAnsi" w:hAnsiTheme="minorHAnsi" w:cstheme="minorHAnsi"/>
          <w:sz w:val="24"/>
          <w:szCs w:val="24"/>
        </w:rPr>
      </w:pPr>
      <w:r w:rsidRPr="00B559F1">
        <w:rPr>
          <w:rFonts w:asciiTheme="minorHAnsi" w:hAnsiTheme="minorHAnsi" w:cstheme="minorHAnsi"/>
          <w:sz w:val="24"/>
          <w:szCs w:val="24"/>
        </w:rPr>
        <w:lastRenderedPageBreak/>
        <w:t>D ô v o d o v á   s p r á v</w:t>
      </w:r>
      <w:r w:rsidR="00C24E00" w:rsidRPr="00B559F1">
        <w:rPr>
          <w:rFonts w:asciiTheme="minorHAnsi" w:hAnsiTheme="minorHAnsi" w:cstheme="minorHAnsi"/>
          <w:sz w:val="24"/>
          <w:szCs w:val="24"/>
        </w:rPr>
        <w:t> </w:t>
      </w:r>
      <w:r w:rsidRPr="00B559F1">
        <w:rPr>
          <w:rFonts w:asciiTheme="minorHAnsi" w:hAnsiTheme="minorHAnsi" w:cstheme="minorHAnsi"/>
          <w:sz w:val="24"/>
          <w:szCs w:val="24"/>
        </w:rPr>
        <w:t>a</w:t>
      </w:r>
    </w:p>
    <w:p w:rsidR="00C24E00" w:rsidRPr="00660B16" w:rsidRDefault="00C24E00" w:rsidP="002E2CC0">
      <w:pPr>
        <w:pStyle w:val="Nzov"/>
        <w:rPr>
          <w:rFonts w:ascii="Arial" w:hAnsi="Arial" w:cs="Arial"/>
          <w:sz w:val="24"/>
          <w:szCs w:val="24"/>
        </w:rPr>
      </w:pPr>
    </w:p>
    <w:p w:rsidR="002E2CC0" w:rsidRPr="00660B16" w:rsidRDefault="002E2CC0" w:rsidP="002E2CC0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611059" w:rsidRPr="00B559F1" w:rsidRDefault="00611059" w:rsidP="00B559F1">
      <w:pPr>
        <w:pStyle w:val="Zarkazkladnhotextu"/>
        <w:spacing w:line="360" w:lineRule="auto"/>
        <w:ind w:left="0" w:firstLine="0"/>
        <w:rPr>
          <w:rFonts w:asciiTheme="minorHAnsi" w:hAnsiTheme="minorHAnsi" w:cstheme="minorHAnsi"/>
        </w:rPr>
      </w:pPr>
      <w:r w:rsidRPr="00B559F1">
        <w:rPr>
          <w:rFonts w:asciiTheme="minorHAnsi" w:hAnsiTheme="minorHAnsi" w:cstheme="minorHAnsi"/>
        </w:rPr>
        <w:t>Viacročný rozpočet je strednodobý ekonomický nástroj finančnej politiky vyššieho územného celku, ktorý vyjadr</w:t>
      </w:r>
      <w:r w:rsidR="002F56C0" w:rsidRPr="00B559F1">
        <w:rPr>
          <w:rFonts w:asciiTheme="minorHAnsi" w:hAnsiTheme="minorHAnsi" w:cstheme="minorHAnsi"/>
        </w:rPr>
        <w:t>uje</w:t>
      </w:r>
      <w:r w:rsidRPr="00B559F1">
        <w:rPr>
          <w:rFonts w:asciiTheme="minorHAnsi" w:hAnsiTheme="minorHAnsi" w:cstheme="minorHAnsi"/>
        </w:rPr>
        <w:t xml:space="preserve"> zámery rozv</w:t>
      </w:r>
      <w:r w:rsidR="002F56C0" w:rsidRPr="00B559F1">
        <w:rPr>
          <w:rFonts w:asciiTheme="minorHAnsi" w:hAnsiTheme="minorHAnsi" w:cstheme="minorHAnsi"/>
        </w:rPr>
        <w:t xml:space="preserve">oja územia a potrieb obyvateľov. Povinnosť zostavovať rozpočet </w:t>
      </w:r>
      <w:r w:rsidRPr="00B559F1">
        <w:rPr>
          <w:rFonts w:asciiTheme="minorHAnsi" w:hAnsiTheme="minorHAnsi" w:cstheme="minorHAnsi"/>
        </w:rPr>
        <w:t>najmenej na tri rozpočtové roky</w:t>
      </w:r>
      <w:r w:rsidR="002F56C0" w:rsidRPr="00B559F1">
        <w:rPr>
          <w:rFonts w:asciiTheme="minorHAnsi" w:hAnsiTheme="minorHAnsi" w:cstheme="minorHAnsi"/>
        </w:rPr>
        <w:t xml:space="preserve"> vyplýva </w:t>
      </w:r>
      <w:r w:rsidR="009F5BFE" w:rsidRPr="00B559F1">
        <w:rPr>
          <w:rFonts w:asciiTheme="minorHAnsi" w:hAnsiTheme="minorHAnsi" w:cstheme="minorHAnsi"/>
        </w:rPr>
        <w:t>z</w:t>
      </w:r>
      <w:r w:rsidR="002F56C0" w:rsidRPr="00B559F1">
        <w:rPr>
          <w:rFonts w:asciiTheme="minorHAnsi" w:hAnsiTheme="minorHAnsi" w:cstheme="minorHAnsi"/>
        </w:rPr>
        <w:t xml:space="preserve"> ustanovení zákona č. 523/2004 Z. z. o rozpočtových pravidlách verejnej správy a o zmene a doplnení niektorých zákonov </w:t>
      </w:r>
      <w:r w:rsidR="00CE2D1E" w:rsidRPr="00B559F1">
        <w:rPr>
          <w:rFonts w:asciiTheme="minorHAnsi" w:hAnsiTheme="minorHAnsi" w:cstheme="minorHAnsi"/>
        </w:rPr>
        <w:t xml:space="preserve">v znení neskorších predpisov </w:t>
      </w:r>
      <w:r w:rsidR="002F56C0" w:rsidRPr="00B559F1">
        <w:rPr>
          <w:rFonts w:asciiTheme="minorHAnsi" w:hAnsiTheme="minorHAnsi" w:cstheme="minorHAnsi"/>
        </w:rPr>
        <w:t>a zákona č. 583/2004 Z. z. o rozpočtových pravidlách územnej samosprávy a o zmene a doplnení niektorých zákonov</w:t>
      </w:r>
      <w:r w:rsidR="00CE2D1E" w:rsidRPr="00B559F1">
        <w:rPr>
          <w:rFonts w:asciiTheme="minorHAnsi" w:hAnsiTheme="minorHAnsi" w:cstheme="minorHAnsi"/>
        </w:rPr>
        <w:t xml:space="preserve"> v znení neskorších predpisov</w:t>
      </w:r>
      <w:r w:rsidR="009F5BFE" w:rsidRPr="00B559F1">
        <w:rPr>
          <w:rFonts w:asciiTheme="minorHAnsi" w:hAnsiTheme="minorHAnsi" w:cstheme="minorHAnsi"/>
        </w:rPr>
        <w:t xml:space="preserve"> (ďalej len zákon č. 583/2004 Z. z.)</w:t>
      </w:r>
      <w:r w:rsidRPr="00B559F1">
        <w:rPr>
          <w:rFonts w:asciiTheme="minorHAnsi" w:hAnsiTheme="minorHAnsi" w:cstheme="minorHAnsi"/>
        </w:rPr>
        <w:t>.</w:t>
      </w:r>
      <w:r w:rsidR="002F56C0" w:rsidRPr="00B559F1">
        <w:rPr>
          <w:rFonts w:asciiTheme="minorHAnsi" w:hAnsiTheme="minorHAnsi" w:cstheme="minorHAnsi"/>
        </w:rPr>
        <w:t xml:space="preserve"> </w:t>
      </w:r>
      <w:r w:rsidRPr="00B559F1">
        <w:rPr>
          <w:rFonts w:asciiTheme="minorHAnsi" w:hAnsiTheme="minorHAnsi" w:cstheme="minorHAnsi"/>
        </w:rPr>
        <w:t xml:space="preserve"> </w:t>
      </w:r>
    </w:p>
    <w:p w:rsidR="00C24E00" w:rsidRPr="00B559F1" w:rsidRDefault="00C24E00" w:rsidP="002E2CC0">
      <w:pPr>
        <w:pStyle w:val="Zarkazkladnhotextu"/>
        <w:spacing w:line="360" w:lineRule="auto"/>
        <w:ind w:left="0" w:firstLine="708"/>
        <w:rPr>
          <w:rFonts w:asciiTheme="minorHAnsi" w:hAnsiTheme="minorHAnsi" w:cstheme="minorHAnsi"/>
        </w:rPr>
      </w:pPr>
    </w:p>
    <w:p w:rsidR="002E2CC0" w:rsidRPr="00B559F1" w:rsidRDefault="009F5BFE" w:rsidP="00B559F1">
      <w:pPr>
        <w:spacing w:line="360" w:lineRule="auto"/>
        <w:jc w:val="both"/>
        <w:rPr>
          <w:rFonts w:asciiTheme="minorHAnsi" w:hAnsiTheme="minorHAnsi" w:cstheme="minorHAnsi"/>
        </w:rPr>
      </w:pPr>
      <w:r w:rsidRPr="00B559F1">
        <w:rPr>
          <w:rFonts w:asciiTheme="minorHAnsi" w:hAnsiTheme="minorHAnsi" w:cstheme="minorHAnsi"/>
        </w:rPr>
        <w:t xml:space="preserve">Rozpočet na príslušný rok je záväzný a rozpočet na nasledujúce dva roky má informatívny charakter. </w:t>
      </w:r>
      <w:r w:rsidR="008F636C" w:rsidRPr="00B559F1">
        <w:rPr>
          <w:rFonts w:asciiTheme="minorHAnsi" w:hAnsiTheme="minorHAnsi" w:cstheme="minorHAnsi"/>
        </w:rPr>
        <w:t>R</w:t>
      </w:r>
      <w:r w:rsidR="002E2CC0" w:rsidRPr="00B559F1">
        <w:rPr>
          <w:rFonts w:asciiTheme="minorHAnsi" w:hAnsiTheme="minorHAnsi" w:cstheme="minorHAnsi"/>
        </w:rPr>
        <w:t xml:space="preserve">ozpočet </w:t>
      </w:r>
      <w:r w:rsidR="008F636C" w:rsidRPr="00B559F1">
        <w:rPr>
          <w:rFonts w:asciiTheme="minorHAnsi" w:hAnsiTheme="minorHAnsi" w:cstheme="minorHAnsi"/>
        </w:rPr>
        <w:t xml:space="preserve">je </w:t>
      </w:r>
      <w:r w:rsidR="002E2CC0" w:rsidRPr="00B559F1">
        <w:rPr>
          <w:rFonts w:asciiTheme="minorHAnsi" w:hAnsiTheme="minorHAnsi" w:cstheme="minorHAnsi"/>
        </w:rPr>
        <w:t xml:space="preserve">predkladaný v programovej štruktúre, </w:t>
      </w:r>
      <w:r w:rsidRPr="00B559F1">
        <w:rPr>
          <w:rFonts w:asciiTheme="minorHAnsi" w:hAnsiTheme="minorHAnsi" w:cstheme="minorHAnsi"/>
        </w:rPr>
        <w:t>ktorá predstavuje</w:t>
      </w:r>
      <w:r w:rsidR="002E2CC0" w:rsidRPr="00B559F1">
        <w:rPr>
          <w:rFonts w:asciiTheme="minorHAnsi" w:hAnsiTheme="minorHAnsi" w:cstheme="minorHAnsi"/>
        </w:rPr>
        <w:t xml:space="preserve"> zámery a ciele, ktoré bude vyšší územný celok realizovať z výdavkov rozpočtu. Podľa týchto požiadaviek je rozpočet</w:t>
      </w:r>
      <w:r w:rsidRPr="00B559F1">
        <w:rPr>
          <w:rFonts w:asciiTheme="minorHAnsi" w:hAnsiTheme="minorHAnsi" w:cstheme="minorHAnsi"/>
        </w:rPr>
        <w:t xml:space="preserve"> Bratislavského samosprávneho kraja</w:t>
      </w:r>
      <w:r w:rsidR="002E2CC0" w:rsidRPr="00B559F1">
        <w:rPr>
          <w:rFonts w:asciiTheme="minorHAnsi" w:hAnsiTheme="minorHAnsi" w:cstheme="minorHAnsi"/>
        </w:rPr>
        <w:t xml:space="preserve"> vo svojej výdavkovej časti rozdelený na trinásť programov, ktoré sa delia na podprogramy a ďalej na prvky. </w:t>
      </w:r>
    </w:p>
    <w:p w:rsidR="00C24E00" w:rsidRPr="00B559F1" w:rsidRDefault="00C24E00" w:rsidP="004B439E">
      <w:pPr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2E2CC0" w:rsidRPr="00B559F1" w:rsidRDefault="002E2A7B" w:rsidP="00B559F1">
      <w:pPr>
        <w:spacing w:line="360" w:lineRule="auto"/>
        <w:jc w:val="both"/>
        <w:rPr>
          <w:rFonts w:asciiTheme="minorHAnsi" w:hAnsiTheme="minorHAnsi" w:cstheme="minorHAnsi"/>
        </w:rPr>
      </w:pPr>
      <w:r w:rsidRPr="00B559F1">
        <w:rPr>
          <w:rFonts w:asciiTheme="minorHAnsi" w:hAnsiTheme="minorHAnsi" w:cstheme="minorHAnsi"/>
        </w:rPr>
        <w:t xml:space="preserve">Predkladaný rozpočet musí byť zostavený ako vyrovnaný alebo prebytkový (§ 10 ods. 7 zákona </w:t>
      </w:r>
      <w:r w:rsidR="00C24E00" w:rsidRPr="00B559F1">
        <w:rPr>
          <w:rFonts w:asciiTheme="minorHAnsi" w:hAnsiTheme="minorHAnsi" w:cstheme="minorHAnsi"/>
        </w:rPr>
        <w:t>č. 583/2004 Z. z.).</w:t>
      </w:r>
    </w:p>
    <w:p w:rsidR="00C24E00" w:rsidRPr="00B559F1" w:rsidRDefault="00C24E00" w:rsidP="002E2CC0">
      <w:pPr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C24E00" w:rsidRPr="00B559F1" w:rsidRDefault="00C24E00" w:rsidP="00B559F1">
      <w:pPr>
        <w:spacing w:line="360" w:lineRule="auto"/>
        <w:rPr>
          <w:rFonts w:asciiTheme="minorHAnsi" w:hAnsiTheme="minorHAnsi" w:cstheme="minorHAnsi"/>
        </w:rPr>
      </w:pPr>
      <w:r w:rsidRPr="00B559F1">
        <w:rPr>
          <w:rFonts w:asciiTheme="minorHAnsi" w:hAnsiTheme="minorHAnsi" w:cstheme="minorHAnsi"/>
        </w:rPr>
        <w:t xml:space="preserve">Medzi hlavné </w:t>
      </w:r>
      <w:r w:rsidRPr="00B559F1">
        <w:rPr>
          <w:rFonts w:asciiTheme="minorHAnsi" w:hAnsiTheme="minorHAnsi" w:cstheme="minorHAnsi"/>
          <w:b/>
        </w:rPr>
        <w:t>riziká rozpočtu</w:t>
      </w:r>
      <w:r w:rsidRPr="00B559F1">
        <w:rPr>
          <w:rFonts w:asciiTheme="minorHAnsi" w:hAnsiTheme="minorHAnsi" w:cstheme="minorHAnsi"/>
        </w:rPr>
        <w:t xml:space="preserve"> je možné zaradiť:</w:t>
      </w:r>
    </w:p>
    <w:p w:rsidR="00F662CD" w:rsidRDefault="00F662CD" w:rsidP="00C24E00">
      <w:pPr>
        <w:pStyle w:val="Odsekzoznamu"/>
        <w:numPr>
          <w:ilvl w:val="0"/>
          <w:numId w:val="4"/>
        </w:numPr>
        <w:spacing w:after="0" w:line="360" w:lineRule="auto"/>
        <w:ind w:left="1418" w:hanging="709"/>
        <w:jc w:val="both"/>
        <w:rPr>
          <w:rFonts w:cstheme="minorHAnsi"/>
          <w:sz w:val="24"/>
          <w:szCs w:val="24"/>
        </w:rPr>
      </w:pPr>
      <w:r w:rsidRPr="00B559F1">
        <w:rPr>
          <w:rFonts w:cstheme="minorHAnsi"/>
          <w:b/>
          <w:sz w:val="24"/>
          <w:szCs w:val="24"/>
        </w:rPr>
        <w:t>Nenaplnenie daňových príjmov</w:t>
      </w:r>
      <w:r w:rsidRPr="00B559F1">
        <w:rPr>
          <w:rFonts w:cstheme="minorHAnsi"/>
          <w:sz w:val="24"/>
          <w:szCs w:val="24"/>
        </w:rPr>
        <w:t xml:space="preserve"> (daň z PFO a daň z motorových vozidiel) v takej miere a v takých intervaloch, ako je predpokladané v rozpočte;</w:t>
      </w:r>
    </w:p>
    <w:p w:rsidR="00C24E00" w:rsidRPr="00B559F1" w:rsidRDefault="00C24E00" w:rsidP="00C24E00">
      <w:pPr>
        <w:pStyle w:val="Odsekzoznamu"/>
        <w:numPr>
          <w:ilvl w:val="0"/>
          <w:numId w:val="4"/>
        </w:numPr>
        <w:spacing w:after="0" w:line="360" w:lineRule="auto"/>
        <w:ind w:left="1418" w:hanging="709"/>
        <w:jc w:val="both"/>
        <w:rPr>
          <w:rFonts w:cstheme="minorHAnsi"/>
          <w:sz w:val="24"/>
          <w:szCs w:val="24"/>
        </w:rPr>
      </w:pPr>
      <w:r w:rsidRPr="00B559F1">
        <w:rPr>
          <w:rFonts w:cstheme="minorHAnsi"/>
          <w:b/>
          <w:sz w:val="24"/>
          <w:szCs w:val="24"/>
        </w:rPr>
        <w:t>Neplnenie predpokladaných kapitálových príjmov</w:t>
      </w:r>
      <w:r w:rsidRPr="00B559F1">
        <w:rPr>
          <w:rFonts w:cstheme="minorHAnsi"/>
          <w:sz w:val="24"/>
          <w:szCs w:val="24"/>
        </w:rPr>
        <w:t xml:space="preserve"> v takej výške, ako je predpokladané v rozpočte;</w:t>
      </w:r>
    </w:p>
    <w:p w:rsidR="00C24E00" w:rsidRPr="00B559F1" w:rsidRDefault="00F662CD" w:rsidP="00C24E00">
      <w:pPr>
        <w:pStyle w:val="Odsekzoznamu"/>
        <w:numPr>
          <w:ilvl w:val="0"/>
          <w:numId w:val="4"/>
        </w:numPr>
        <w:spacing w:after="0" w:line="360" w:lineRule="auto"/>
        <w:ind w:left="1418" w:hanging="709"/>
        <w:jc w:val="both"/>
        <w:rPr>
          <w:rFonts w:cstheme="minorHAnsi"/>
          <w:sz w:val="24"/>
          <w:szCs w:val="24"/>
        </w:rPr>
      </w:pPr>
      <w:r w:rsidRPr="00B559F1">
        <w:rPr>
          <w:rFonts w:cstheme="minorHAnsi"/>
          <w:b/>
          <w:sz w:val="24"/>
          <w:szCs w:val="24"/>
        </w:rPr>
        <w:t>Vznik mimoriadnych havarijných, resp. škodových udalostí</w:t>
      </w:r>
      <w:r w:rsidRPr="00B559F1">
        <w:rPr>
          <w:rFonts w:cstheme="minorHAnsi"/>
          <w:sz w:val="24"/>
          <w:szCs w:val="24"/>
        </w:rPr>
        <w:t xml:space="preserve"> nad rámec rozpočtu;</w:t>
      </w:r>
    </w:p>
    <w:p w:rsidR="00C24E00" w:rsidRPr="00B559F1" w:rsidRDefault="00C24E00" w:rsidP="00C24E00">
      <w:pPr>
        <w:pStyle w:val="Odsekzoznamu"/>
        <w:numPr>
          <w:ilvl w:val="0"/>
          <w:numId w:val="4"/>
        </w:numPr>
        <w:spacing w:after="0" w:line="360" w:lineRule="auto"/>
        <w:ind w:left="1418" w:hanging="709"/>
        <w:jc w:val="both"/>
        <w:rPr>
          <w:rFonts w:cstheme="minorHAnsi"/>
          <w:sz w:val="24"/>
          <w:szCs w:val="24"/>
        </w:rPr>
      </w:pPr>
      <w:r w:rsidRPr="00B559F1">
        <w:rPr>
          <w:rFonts w:cstheme="minorHAnsi"/>
          <w:sz w:val="24"/>
          <w:szCs w:val="24"/>
        </w:rPr>
        <w:t xml:space="preserve">Zásadnú </w:t>
      </w:r>
      <w:r w:rsidRPr="00B559F1">
        <w:rPr>
          <w:rFonts w:cstheme="minorHAnsi"/>
          <w:b/>
          <w:sz w:val="24"/>
          <w:szCs w:val="24"/>
        </w:rPr>
        <w:t>zmenu vo vývoji makroekonomických ukazovateľov</w:t>
      </w:r>
      <w:r w:rsidRPr="00B559F1">
        <w:rPr>
          <w:rFonts w:cstheme="minorHAnsi"/>
          <w:sz w:val="24"/>
          <w:szCs w:val="24"/>
        </w:rPr>
        <w:t xml:space="preserve">; </w:t>
      </w:r>
    </w:p>
    <w:p w:rsidR="00C24E00" w:rsidRPr="00B559F1" w:rsidRDefault="00C24E00" w:rsidP="00C24E00">
      <w:pPr>
        <w:pStyle w:val="Odsekzoznamu"/>
        <w:numPr>
          <w:ilvl w:val="0"/>
          <w:numId w:val="4"/>
        </w:numPr>
        <w:spacing w:after="0" w:line="360" w:lineRule="auto"/>
        <w:ind w:left="1418" w:hanging="709"/>
        <w:jc w:val="both"/>
        <w:rPr>
          <w:rFonts w:cstheme="minorHAnsi"/>
          <w:sz w:val="24"/>
          <w:szCs w:val="24"/>
        </w:rPr>
      </w:pPr>
      <w:r w:rsidRPr="00B559F1">
        <w:rPr>
          <w:rFonts w:cstheme="minorHAnsi"/>
          <w:b/>
          <w:sz w:val="24"/>
          <w:szCs w:val="24"/>
        </w:rPr>
        <w:t>Vznik, príp. novelizácia legislatívnych noriem, ktoré majú priamy dopad na výdavky rozpočtu;</w:t>
      </w:r>
      <w:r w:rsidRPr="00B559F1">
        <w:rPr>
          <w:rFonts w:cstheme="minorHAnsi"/>
          <w:sz w:val="24"/>
          <w:szCs w:val="24"/>
        </w:rPr>
        <w:t xml:space="preserve"> </w:t>
      </w:r>
      <w:r w:rsidRPr="00B559F1">
        <w:rPr>
          <w:rFonts w:cstheme="minorHAnsi"/>
          <w:b/>
          <w:sz w:val="24"/>
          <w:szCs w:val="24"/>
        </w:rPr>
        <w:t>Výraznejší pokles žiakov na školách</w:t>
      </w:r>
      <w:r w:rsidRPr="00B559F1">
        <w:rPr>
          <w:rFonts w:cstheme="minorHAnsi"/>
          <w:sz w:val="24"/>
          <w:szCs w:val="24"/>
        </w:rPr>
        <w:t xml:space="preserve"> a tým aj pokles príjmov z normatívu na žiaka;</w:t>
      </w:r>
    </w:p>
    <w:p w:rsidR="00C24E00" w:rsidRPr="00507C08" w:rsidRDefault="00C24E00" w:rsidP="00C24E00">
      <w:pPr>
        <w:pStyle w:val="Odsekzoznamu"/>
        <w:numPr>
          <w:ilvl w:val="0"/>
          <w:numId w:val="4"/>
        </w:numPr>
        <w:spacing w:after="0" w:line="360" w:lineRule="auto"/>
        <w:ind w:left="1418" w:hanging="709"/>
        <w:jc w:val="both"/>
        <w:rPr>
          <w:rFonts w:cstheme="minorHAnsi"/>
          <w:sz w:val="24"/>
          <w:szCs w:val="24"/>
        </w:rPr>
      </w:pPr>
      <w:r w:rsidRPr="00507C08">
        <w:rPr>
          <w:rFonts w:cstheme="minorHAnsi"/>
          <w:sz w:val="24"/>
          <w:szCs w:val="24"/>
        </w:rPr>
        <w:t xml:space="preserve">Nedostatočné </w:t>
      </w:r>
      <w:r w:rsidR="00507C08" w:rsidRPr="00507C08">
        <w:rPr>
          <w:rFonts w:cstheme="minorHAnsi"/>
          <w:sz w:val="24"/>
          <w:szCs w:val="24"/>
        </w:rPr>
        <w:t xml:space="preserve">možnosti získania prostriedkov z EÚ a </w:t>
      </w:r>
      <w:r w:rsidRPr="00507C08">
        <w:rPr>
          <w:rFonts w:cstheme="minorHAnsi"/>
          <w:sz w:val="24"/>
          <w:szCs w:val="24"/>
        </w:rPr>
        <w:t>čerpanie prostriedkov z</w:t>
      </w:r>
      <w:r w:rsidR="00507C08" w:rsidRPr="00507C08">
        <w:rPr>
          <w:rFonts w:cstheme="minorHAnsi"/>
          <w:sz w:val="24"/>
          <w:szCs w:val="24"/>
        </w:rPr>
        <w:t> </w:t>
      </w:r>
      <w:r w:rsidRPr="00507C08">
        <w:rPr>
          <w:rFonts w:cstheme="minorHAnsi"/>
          <w:sz w:val="24"/>
          <w:szCs w:val="24"/>
        </w:rPr>
        <w:t>EÚ</w:t>
      </w:r>
      <w:r w:rsidR="00507C08" w:rsidRPr="00507C08">
        <w:rPr>
          <w:rFonts w:cstheme="minorHAnsi"/>
          <w:sz w:val="24"/>
          <w:szCs w:val="24"/>
        </w:rPr>
        <w:t xml:space="preserve"> pri projektoch financovaných z EÚ</w:t>
      </w:r>
      <w:r w:rsidRPr="00507C08">
        <w:rPr>
          <w:rFonts w:cstheme="minorHAnsi"/>
          <w:sz w:val="24"/>
          <w:szCs w:val="24"/>
        </w:rPr>
        <w:t xml:space="preserve"> z rôznych dôvodov (nekvalitne </w:t>
      </w:r>
      <w:r w:rsidRPr="00507C08">
        <w:rPr>
          <w:rFonts w:cstheme="minorHAnsi"/>
          <w:sz w:val="24"/>
          <w:szCs w:val="24"/>
        </w:rPr>
        <w:lastRenderedPageBreak/>
        <w:t>pripravené projekty, neplnenie termínov, nedôsledná komunikácia a kontrola, fluktuácia zamestnancov);</w:t>
      </w:r>
    </w:p>
    <w:p w:rsidR="00C24E00" w:rsidRPr="00E45C42" w:rsidRDefault="00C24E00" w:rsidP="002E2CC0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2E2CC0" w:rsidRPr="00B559F1" w:rsidRDefault="002E2CC0" w:rsidP="00B559F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B559F1">
        <w:rPr>
          <w:rFonts w:asciiTheme="minorHAnsi" w:hAnsiTheme="minorHAnsi" w:cstheme="minorHAnsi"/>
          <w:b/>
        </w:rPr>
        <w:t>Rozpočet</w:t>
      </w:r>
      <w:r w:rsidRPr="00B559F1">
        <w:rPr>
          <w:rFonts w:asciiTheme="minorHAnsi" w:hAnsiTheme="minorHAnsi" w:cstheme="minorHAnsi"/>
        </w:rPr>
        <w:t xml:space="preserve"> Bratislavského samosprávneho kraja na rok </w:t>
      </w:r>
      <w:r w:rsidRPr="00B559F1">
        <w:rPr>
          <w:rFonts w:asciiTheme="minorHAnsi" w:hAnsiTheme="minorHAnsi" w:cstheme="minorHAnsi"/>
          <w:b/>
        </w:rPr>
        <w:t>201</w:t>
      </w:r>
      <w:r w:rsidR="003567B4">
        <w:rPr>
          <w:rFonts w:asciiTheme="minorHAnsi" w:hAnsiTheme="minorHAnsi" w:cstheme="minorHAnsi"/>
          <w:b/>
        </w:rPr>
        <w:t>4</w:t>
      </w:r>
      <w:r w:rsidRPr="00B559F1">
        <w:rPr>
          <w:rFonts w:asciiTheme="minorHAnsi" w:hAnsiTheme="minorHAnsi" w:cstheme="minorHAnsi"/>
        </w:rPr>
        <w:t xml:space="preserve"> je navrhovaný ako vyrovnaný, keď celkové príjmy a príjmové finančné operácie predpokladáme na úrovni </w:t>
      </w:r>
      <w:r w:rsidRPr="00B559F1">
        <w:rPr>
          <w:rFonts w:asciiTheme="minorHAnsi" w:hAnsiTheme="minorHAnsi" w:cstheme="minorHAnsi"/>
        </w:rPr>
        <w:br/>
      </w:r>
      <w:r w:rsidR="00132C50" w:rsidRPr="00132C50">
        <w:rPr>
          <w:rFonts w:asciiTheme="minorHAnsi" w:hAnsiTheme="minorHAnsi" w:cstheme="minorHAnsi"/>
          <w:b/>
        </w:rPr>
        <w:t xml:space="preserve">124 797 196,38  </w:t>
      </w:r>
      <w:r w:rsidR="004B439E" w:rsidRPr="008406F3">
        <w:rPr>
          <w:rFonts w:asciiTheme="minorHAnsi" w:hAnsiTheme="minorHAnsi" w:cstheme="minorHAnsi"/>
          <w:b/>
        </w:rPr>
        <w:t>€</w:t>
      </w:r>
      <w:r w:rsidR="004B439E" w:rsidRPr="00B559F1">
        <w:rPr>
          <w:rFonts w:asciiTheme="minorHAnsi" w:hAnsiTheme="minorHAnsi" w:cstheme="minorHAnsi"/>
          <w:b/>
        </w:rPr>
        <w:t xml:space="preserve"> </w:t>
      </w:r>
      <w:r w:rsidRPr="00B559F1">
        <w:rPr>
          <w:rFonts w:asciiTheme="minorHAnsi" w:hAnsiTheme="minorHAnsi" w:cstheme="minorHAnsi"/>
        </w:rPr>
        <w:t xml:space="preserve"> a celkové výdavky a výdavkové finančné operácie predpokladáme čerpať do výšky </w:t>
      </w:r>
      <w:r w:rsidR="00132C50" w:rsidRPr="00132C50">
        <w:rPr>
          <w:rFonts w:asciiTheme="minorHAnsi" w:hAnsiTheme="minorHAnsi" w:cstheme="minorHAnsi"/>
          <w:b/>
        </w:rPr>
        <w:t xml:space="preserve">124 797 196,38  </w:t>
      </w:r>
      <w:r w:rsidR="00AF0F6B" w:rsidRPr="008406F3">
        <w:rPr>
          <w:rFonts w:asciiTheme="minorHAnsi" w:hAnsiTheme="minorHAnsi" w:cstheme="minorHAnsi"/>
          <w:b/>
        </w:rPr>
        <w:t>€.</w:t>
      </w:r>
      <w:r w:rsidR="00AF0F6B" w:rsidRPr="00B559F1">
        <w:rPr>
          <w:rFonts w:asciiTheme="minorHAnsi" w:hAnsiTheme="minorHAnsi" w:cstheme="minorHAnsi"/>
          <w:b/>
        </w:rPr>
        <w:t xml:space="preserve"> </w:t>
      </w:r>
      <w:r w:rsidR="00AF0F6B" w:rsidRPr="00B559F1">
        <w:rPr>
          <w:rFonts w:asciiTheme="minorHAnsi" w:hAnsiTheme="minorHAnsi" w:cstheme="minorHAnsi"/>
        </w:rPr>
        <w:t xml:space="preserve"> </w:t>
      </w:r>
    </w:p>
    <w:p w:rsidR="00B559F1" w:rsidRDefault="00B559F1" w:rsidP="002E2CC0">
      <w:pPr>
        <w:jc w:val="both"/>
        <w:rPr>
          <w:rFonts w:ascii="Arial Narrow" w:hAnsi="Arial Narrow"/>
        </w:rPr>
        <w:sectPr w:rsidR="00B559F1" w:rsidSect="00C377C4">
          <w:pgSz w:w="11906" w:h="16838"/>
          <w:pgMar w:top="851" w:right="1417" w:bottom="1134" w:left="1417" w:header="708" w:footer="708" w:gutter="0"/>
          <w:cols w:space="708"/>
          <w:docGrid w:linePitch="360"/>
        </w:sectPr>
      </w:pPr>
    </w:p>
    <w:p w:rsidR="00C01AF3" w:rsidRDefault="00C01AF3" w:rsidP="00C01AF3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lastRenderedPageBreak/>
        <w:t>Stanoviská komisií Zastupiteľstva BSK</w:t>
      </w:r>
    </w:p>
    <w:p w:rsidR="00676189" w:rsidRDefault="00C01AF3" w:rsidP="00676189">
      <w:pPr>
        <w:pBdr>
          <w:bottom w:val="single" w:sz="4" w:space="1" w:color="000000"/>
        </w:pBd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k materiálu  </w:t>
      </w:r>
      <w:r>
        <w:rPr>
          <w:rFonts w:ascii="Arial" w:hAnsi="Arial" w:cs="Arial"/>
          <w:b/>
          <w:sz w:val="22"/>
          <w:szCs w:val="22"/>
        </w:rPr>
        <w:t xml:space="preserve">Návrh </w:t>
      </w:r>
      <w:r w:rsidRPr="00C01AF3">
        <w:rPr>
          <w:rFonts w:ascii="Arial" w:hAnsi="Arial" w:cs="Arial"/>
          <w:b/>
          <w:sz w:val="22"/>
          <w:szCs w:val="22"/>
        </w:rPr>
        <w:t>rozpočtu Bratislavského samosprávneho kraja na roky 201</w:t>
      </w:r>
      <w:r w:rsidR="00A300EB">
        <w:rPr>
          <w:rFonts w:ascii="Arial" w:hAnsi="Arial" w:cs="Arial"/>
          <w:b/>
          <w:sz w:val="22"/>
          <w:szCs w:val="22"/>
        </w:rPr>
        <w:t>4</w:t>
      </w:r>
      <w:r w:rsidRPr="00C01AF3">
        <w:rPr>
          <w:rFonts w:ascii="Arial" w:hAnsi="Arial" w:cs="Arial"/>
          <w:b/>
          <w:sz w:val="22"/>
          <w:szCs w:val="22"/>
        </w:rPr>
        <w:t xml:space="preserve"> až 201</w:t>
      </w:r>
      <w:r w:rsidR="00A300EB">
        <w:rPr>
          <w:rFonts w:ascii="Arial" w:hAnsi="Arial" w:cs="Arial"/>
          <w:b/>
          <w:sz w:val="22"/>
          <w:szCs w:val="22"/>
        </w:rPr>
        <w:t>6</w:t>
      </w:r>
    </w:p>
    <w:tbl>
      <w:tblPr>
        <w:tblpPr w:leftFromText="141" w:rightFromText="141" w:vertAnchor="page" w:horzAnchor="margin" w:tblpY="1827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9"/>
        <w:gridCol w:w="5269"/>
        <w:gridCol w:w="2525"/>
        <w:gridCol w:w="1835"/>
        <w:gridCol w:w="1744"/>
      </w:tblGrid>
      <w:tr w:rsidR="000904E7" w:rsidRPr="00926BD4" w:rsidTr="00A6075F">
        <w:trPr>
          <w:trHeight w:val="798"/>
        </w:trPr>
        <w:tc>
          <w:tcPr>
            <w:tcW w:w="0" w:type="auto"/>
            <w:shd w:val="clear" w:color="auto" w:fill="auto"/>
          </w:tcPr>
          <w:p w:rsidR="000904E7" w:rsidRPr="00926BD4" w:rsidRDefault="000904E7" w:rsidP="00A6075F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b/>
                <w:sz w:val="18"/>
                <w:szCs w:val="18"/>
              </w:rPr>
              <w:t>Názov komisie</w:t>
            </w:r>
          </w:p>
        </w:tc>
        <w:tc>
          <w:tcPr>
            <w:tcW w:w="5269" w:type="dxa"/>
            <w:shd w:val="clear" w:color="auto" w:fill="auto"/>
          </w:tcPr>
          <w:p w:rsidR="000904E7" w:rsidRPr="00926BD4" w:rsidRDefault="000904E7" w:rsidP="00A6075F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b/>
                <w:sz w:val="18"/>
                <w:szCs w:val="18"/>
              </w:rPr>
              <w:t>Stanovisko komisie k návrhu materiálu</w:t>
            </w:r>
          </w:p>
        </w:tc>
        <w:tc>
          <w:tcPr>
            <w:tcW w:w="2525" w:type="dxa"/>
            <w:shd w:val="clear" w:color="auto" w:fill="auto"/>
          </w:tcPr>
          <w:p w:rsidR="000904E7" w:rsidRPr="00926BD4" w:rsidRDefault="000904E7" w:rsidP="00A6075F">
            <w:pPr>
              <w:rPr>
                <w:rFonts w:ascii="Arial" w:eastAsia="Arial Unicode MS" w:hAnsi="Arial" w:cs="Arial"/>
                <w:b/>
              </w:rPr>
            </w:pP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b/>
              </w:rPr>
            </w:pPr>
            <w:r w:rsidRPr="00926BD4">
              <w:rPr>
                <w:rFonts w:ascii="Arial" w:eastAsia="Arial Unicode MS" w:hAnsi="Arial" w:cs="Arial"/>
                <w:b/>
              </w:rPr>
              <w:t>Hlasovanie</w:t>
            </w:r>
          </w:p>
        </w:tc>
        <w:tc>
          <w:tcPr>
            <w:tcW w:w="0" w:type="auto"/>
            <w:shd w:val="clear" w:color="auto" w:fill="auto"/>
          </w:tcPr>
          <w:p w:rsidR="000904E7" w:rsidRPr="00926BD4" w:rsidRDefault="000904E7" w:rsidP="00A6075F">
            <w:pPr>
              <w:rPr>
                <w:rFonts w:ascii="Arial" w:eastAsia="Arial Unicode MS" w:hAnsi="Arial" w:cs="Arial"/>
                <w:b/>
              </w:rPr>
            </w:pPr>
          </w:p>
          <w:p w:rsidR="000904E7" w:rsidRPr="00926BD4" w:rsidRDefault="000904E7" w:rsidP="00A6075F">
            <w:pPr>
              <w:rPr>
                <w:rFonts w:ascii="Calibri" w:eastAsia="Calibri" w:hAnsi="Calibri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b/>
              </w:rPr>
              <w:t xml:space="preserve">Akcept. / </w:t>
            </w:r>
            <w:proofErr w:type="spellStart"/>
            <w:r w:rsidRPr="00926BD4">
              <w:rPr>
                <w:rFonts w:ascii="Arial" w:eastAsia="Arial Unicode MS" w:hAnsi="Arial" w:cs="Arial"/>
                <w:b/>
              </w:rPr>
              <w:t>Neakcept</w:t>
            </w:r>
            <w:proofErr w:type="spellEnd"/>
            <w:r w:rsidRPr="00926BD4">
              <w:rPr>
                <w:rFonts w:ascii="Arial" w:eastAsia="Arial Unicode MS" w:hAnsi="Arial" w:cs="Arial"/>
                <w:b/>
              </w:rPr>
              <w:t>.</w:t>
            </w:r>
          </w:p>
        </w:tc>
        <w:tc>
          <w:tcPr>
            <w:tcW w:w="1744" w:type="dxa"/>
            <w:shd w:val="clear" w:color="auto" w:fill="auto"/>
          </w:tcPr>
          <w:p w:rsidR="000904E7" w:rsidRPr="00926BD4" w:rsidRDefault="000904E7" w:rsidP="00A6075F">
            <w:pPr>
              <w:rPr>
                <w:rFonts w:ascii="Arial" w:eastAsia="Arial Unicode MS" w:hAnsi="Arial" w:cs="Arial"/>
                <w:b/>
              </w:rPr>
            </w:pPr>
          </w:p>
          <w:p w:rsidR="000904E7" w:rsidRPr="00926BD4" w:rsidRDefault="000904E7" w:rsidP="00A6075F">
            <w:pPr>
              <w:rPr>
                <w:rFonts w:ascii="Calibri" w:eastAsia="Calibri" w:hAnsi="Calibri"/>
                <w:sz w:val="18"/>
                <w:szCs w:val="18"/>
              </w:rPr>
            </w:pPr>
            <w:proofErr w:type="spellStart"/>
            <w:r w:rsidRPr="00926BD4">
              <w:rPr>
                <w:rFonts w:ascii="Arial" w:eastAsia="Arial Unicode MS" w:hAnsi="Arial" w:cs="Arial"/>
                <w:b/>
              </w:rPr>
              <w:t>Zapracov</w:t>
            </w:r>
            <w:proofErr w:type="spellEnd"/>
            <w:r w:rsidRPr="00926BD4">
              <w:rPr>
                <w:rFonts w:ascii="Arial" w:eastAsia="Arial Unicode MS" w:hAnsi="Arial" w:cs="Arial"/>
                <w:b/>
              </w:rPr>
              <w:t>. /</w:t>
            </w:r>
            <w:proofErr w:type="spellStart"/>
            <w:r w:rsidRPr="00926BD4">
              <w:rPr>
                <w:rFonts w:ascii="Arial" w:eastAsia="Arial Unicode MS" w:hAnsi="Arial" w:cs="Arial"/>
                <w:b/>
              </w:rPr>
              <w:t>Nezapracov</w:t>
            </w:r>
            <w:proofErr w:type="spellEnd"/>
            <w:r w:rsidRPr="00926BD4">
              <w:rPr>
                <w:rFonts w:ascii="Arial" w:eastAsia="Arial Unicode MS" w:hAnsi="Arial" w:cs="Arial"/>
                <w:b/>
              </w:rPr>
              <w:t xml:space="preserve">.                                            </w:t>
            </w:r>
          </w:p>
        </w:tc>
      </w:tr>
      <w:tr w:rsidR="000904E7" w:rsidRPr="00926BD4" w:rsidTr="00A6075F">
        <w:trPr>
          <w:trHeight w:val="873"/>
        </w:trPr>
        <w:tc>
          <w:tcPr>
            <w:tcW w:w="0" w:type="auto"/>
            <w:shd w:val="clear" w:color="auto" w:fill="auto"/>
            <w:vAlign w:val="center"/>
          </w:tcPr>
          <w:p w:rsidR="000904E7" w:rsidRPr="00926BD4" w:rsidRDefault="000904E7" w:rsidP="00A607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26BD4">
              <w:rPr>
                <w:rFonts w:ascii="Arial" w:eastAsia="Arial Unicode MS" w:hAnsi="Arial" w:cs="Arial"/>
                <w:sz w:val="20"/>
                <w:szCs w:val="20"/>
              </w:rPr>
              <w:t>Komisia zdravotníctva a sociálnych vecí</w:t>
            </w:r>
          </w:p>
          <w:p w:rsidR="000904E7" w:rsidRPr="00926BD4" w:rsidRDefault="000904E7" w:rsidP="00A6075F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5269" w:type="dxa"/>
            <w:shd w:val="clear" w:color="auto" w:fill="auto"/>
          </w:tcPr>
          <w:p w:rsidR="000904E7" w:rsidRPr="005643B2" w:rsidRDefault="000904E7" w:rsidP="00A6075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5643B2">
              <w:rPr>
                <w:rFonts w:ascii="Arial" w:eastAsia="Arial Unicode MS" w:hAnsi="Arial" w:cs="Arial"/>
                <w:sz w:val="20"/>
                <w:szCs w:val="20"/>
              </w:rPr>
              <w:t xml:space="preserve">Členovia </w:t>
            </w:r>
            <w:proofErr w:type="spellStart"/>
            <w:r w:rsidRPr="005643B2">
              <w:rPr>
                <w:rFonts w:ascii="Arial" w:eastAsia="Arial Unicode MS" w:hAnsi="Arial" w:cs="Arial"/>
                <w:sz w:val="20"/>
                <w:szCs w:val="20"/>
              </w:rPr>
              <w:t>KZaSV</w:t>
            </w:r>
            <w:proofErr w:type="spellEnd"/>
            <w:r w:rsidRPr="005643B2">
              <w:rPr>
                <w:rFonts w:ascii="Arial" w:eastAsia="Arial Unicode MS" w:hAnsi="Arial" w:cs="Arial"/>
                <w:sz w:val="20"/>
                <w:szCs w:val="20"/>
              </w:rPr>
              <w:t xml:space="preserve"> schválili predložený materiál bez pripomienok a odporúčajú ho na rokovanie Z BSK.</w:t>
            </w:r>
          </w:p>
        </w:tc>
        <w:tc>
          <w:tcPr>
            <w:tcW w:w="2525" w:type="dxa"/>
            <w:shd w:val="clear" w:color="auto" w:fill="auto"/>
          </w:tcPr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7</w:t>
            </w: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Za:  5 </w:t>
            </w: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2</w:t>
            </w: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0" w:type="auto"/>
            <w:shd w:val="clear" w:color="auto" w:fill="auto"/>
          </w:tcPr>
          <w:p w:rsidR="000904E7" w:rsidRPr="00926BD4" w:rsidRDefault="000904E7" w:rsidP="00A6075F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0904E7" w:rsidRPr="00926BD4" w:rsidRDefault="000904E7" w:rsidP="00A6075F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0904E7" w:rsidRPr="00926BD4" w:rsidRDefault="000904E7" w:rsidP="00A6075F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744" w:type="dxa"/>
            <w:shd w:val="clear" w:color="auto" w:fill="auto"/>
          </w:tcPr>
          <w:p w:rsidR="000904E7" w:rsidRPr="00926BD4" w:rsidRDefault="000904E7" w:rsidP="00A6075F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0904E7" w:rsidRPr="00926BD4" w:rsidTr="00A6075F">
        <w:trPr>
          <w:trHeight w:val="808"/>
        </w:trPr>
        <w:tc>
          <w:tcPr>
            <w:tcW w:w="0" w:type="auto"/>
            <w:shd w:val="clear" w:color="auto" w:fill="auto"/>
            <w:vAlign w:val="center"/>
          </w:tcPr>
          <w:p w:rsidR="000904E7" w:rsidRPr="00926BD4" w:rsidRDefault="000904E7" w:rsidP="00A6075F">
            <w:pPr>
              <w:rPr>
                <w:rFonts w:ascii="Calibri" w:eastAsia="Calibri" w:hAnsi="Calibri"/>
                <w:sz w:val="20"/>
                <w:szCs w:val="20"/>
              </w:rPr>
            </w:pPr>
            <w:r w:rsidRPr="00926BD4">
              <w:rPr>
                <w:rFonts w:ascii="Arial" w:eastAsia="Arial Unicode MS" w:hAnsi="Arial" w:cs="Arial"/>
                <w:sz w:val="20"/>
                <w:szCs w:val="20"/>
              </w:rPr>
              <w:t>Komisia dopravy</w:t>
            </w:r>
          </w:p>
        </w:tc>
        <w:tc>
          <w:tcPr>
            <w:tcW w:w="5269" w:type="dxa"/>
            <w:shd w:val="clear" w:color="auto" w:fill="auto"/>
            <w:vAlign w:val="center"/>
          </w:tcPr>
          <w:p w:rsidR="000904E7" w:rsidRPr="00926BD4" w:rsidRDefault="000904E7" w:rsidP="00A6075F">
            <w:pPr>
              <w:contextualSpacing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926BD4">
              <w:rPr>
                <w:rFonts w:ascii="Arial" w:eastAsia="Arial Unicode MS" w:hAnsi="Arial" w:cs="Arial"/>
                <w:sz w:val="20"/>
                <w:szCs w:val="20"/>
              </w:rPr>
              <w:t>KD po prerokovaní odporúča prerokovať a 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schváliť</w:t>
            </w:r>
            <w:r w:rsidRPr="00926BD4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predložený materiál.</w:t>
            </w:r>
          </w:p>
        </w:tc>
        <w:tc>
          <w:tcPr>
            <w:tcW w:w="2525" w:type="dxa"/>
            <w:shd w:val="clear" w:color="auto" w:fill="auto"/>
          </w:tcPr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8</w:t>
            </w: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>Za:   6</w:t>
            </w: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2</w:t>
            </w: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>Nehlasoval:  0</w:t>
            </w:r>
          </w:p>
        </w:tc>
        <w:tc>
          <w:tcPr>
            <w:tcW w:w="0" w:type="auto"/>
            <w:shd w:val="clear" w:color="auto" w:fill="auto"/>
          </w:tcPr>
          <w:p w:rsidR="000904E7" w:rsidRPr="00926BD4" w:rsidRDefault="000904E7" w:rsidP="00A6075F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744" w:type="dxa"/>
            <w:shd w:val="clear" w:color="auto" w:fill="auto"/>
          </w:tcPr>
          <w:p w:rsidR="000904E7" w:rsidRPr="00926BD4" w:rsidRDefault="000904E7" w:rsidP="00A6075F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0904E7" w:rsidRPr="00926BD4" w:rsidTr="00A6075F">
        <w:trPr>
          <w:trHeight w:val="942"/>
        </w:trPr>
        <w:tc>
          <w:tcPr>
            <w:tcW w:w="0" w:type="auto"/>
            <w:shd w:val="clear" w:color="auto" w:fill="auto"/>
            <w:vAlign w:val="center"/>
          </w:tcPr>
          <w:p w:rsidR="000904E7" w:rsidRPr="00926BD4" w:rsidRDefault="000904E7" w:rsidP="00A6075F">
            <w:pPr>
              <w:ind w:right="-762"/>
              <w:rPr>
                <w:rFonts w:ascii="Arial" w:eastAsia="Arial Unicode MS" w:hAnsi="Arial" w:cs="Arial"/>
                <w:sz w:val="20"/>
                <w:szCs w:val="20"/>
              </w:rPr>
            </w:pPr>
            <w:r w:rsidRPr="00926BD4">
              <w:rPr>
                <w:rFonts w:ascii="Arial" w:eastAsia="Arial Unicode MS" w:hAnsi="Arial" w:cs="Arial"/>
                <w:sz w:val="20"/>
                <w:szCs w:val="20"/>
              </w:rPr>
              <w:t xml:space="preserve">Komisia európskych záležitostí, regionálnej spolupráce a cestovného ruchu </w:t>
            </w:r>
          </w:p>
          <w:p w:rsidR="000904E7" w:rsidRPr="00926BD4" w:rsidRDefault="000904E7" w:rsidP="00A6075F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5269" w:type="dxa"/>
            <w:shd w:val="clear" w:color="auto" w:fill="auto"/>
          </w:tcPr>
          <w:p w:rsidR="000904E7" w:rsidRPr="00926BD4" w:rsidRDefault="000904E7" w:rsidP="00A6075F">
            <w:pPr>
              <w:rPr>
                <w:rFonts w:ascii="Calibri" w:eastAsia="Calibri" w:hAnsi="Calibri"/>
                <w:sz w:val="20"/>
                <w:szCs w:val="20"/>
              </w:rPr>
            </w:pPr>
            <w:r w:rsidRPr="005643B2">
              <w:rPr>
                <w:rFonts w:ascii="Arial" w:eastAsia="Arial Unicode MS" w:hAnsi="Arial" w:cs="Arial"/>
                <w:sz w:val="20"/>
                <w:szCs w:val="20"/>
              </w:rPr>
              <w:t>Komisia európskych záležitostí, regionálnej spolupráce a cestovného ruchu odporúča Z BSK prerokovať a schváliť predložený materiál.</w:t>
            </w:r>
          </w:p>
        </w:tc>
        <w:tc>
          <w:tcPr>
            <w:tcW w:w="2525" w:type="dxa"/>
            <w:shd w:val="clear" w:color="auto" w:fill="auto"/>
          </w:tcPr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7</w:t>
            </w: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Za:  6</w:t>
            </w: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Proti: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1</w:t>
            </w: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Nehlasoval: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904E7" w:rsidRPr="00926BD4" w:rsidRDefault="000904E7" w:rsidP="00A6075F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744" w:type="dxa"/>
            <w:shd w:val="clear" w:color="auto" w:fill="auto"/>
          </w:tcPr>
          <w:p w:rsidR="000904E7" w:rsidRPr="00926BD4" w:rsidRDefault="000904E7" w:rsidP="00A6075F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0904E7" w:rsidRPr="00926BD4" w:rsidTr="00A6075F">
        <w:trPr>
          <w:trHeight w:val="527"/>
        </w:trPr>
        <w:tc>
          <w:tcPr>
            <w:tcW w:w="0" w:type="auto"/>
            <w:shd w:val="clear" w:color="auto" w:fill="auto"/>
            <w:vAlign w:val="center"/>
          </w:tcPr>
          <w:p w:rsidR="000904E7" w:rsidRPr="00926BD4" w:rsidRDefault="000904E7" w:rsidP="00A607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26BD4">
              <w:rPr>
                <w:rFonts w:ascii="Arial" w:eastAsia="Arial Unicode MS" w:hAnsi="Arial" w:cs="Arial"/>
                <w:sz w:val="20"/>
                <w:szCs w:val="20"/>
              </w:rPr>
              <w:t>Komisia kultúry</w:t>
            </w:r>
          </w:p>
          <w:p w:rsidR="000904E7" w:rsidRPr="00926BD4" w:rsidRDefault="000904E7" w:rsidP="00A6075F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5269" w:type="dxa"/>
            <w:shd w:val="clear" w:color="auto" w:fill="auto"/>
          </w:tcPr>
          <w:p w:rsidR="000904E7" w:rsidRPr="00B829A8" w:rsidRDefault="000904E7" w:rsidP="00A6075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B829A8">
              <w:rPr>
                <w:rFonts w:ascii="Arial" w:eastAsia="Arial Unicode MS" w:hAnsi="Arial" w:cs="Arial"/>
                <w:sz w:val="20"/>
                <w:szCs w:val="20"/>
              </w:rPr>
              <w:t>I.   Komisia kultúry odporúča vedeniu Úradu BSK zvážiť nasledovnú zmenu:  v návrhu rozpočtu na rok 2014 navýšiť program  4 (cestovný ruch) a podprogram 10.1. (manažment kultúry) o rovnakú sumu oproti schválenému rozpočtu na rok 2013 tak, aby súčet úprav  neovplyvnil konečný sumár výdavkov v návrhu rozpočtu.                                                                                                                                                                    II.   Materiál ako celok komisia berie na vedomie a odporúča zastupiteľstvu BSK materiál prerokovať a schváliť.</w:t>
            </w:r>
          </w:p>
        </w:tc>
        <w:tc>
          <w:tcPr>
            <w:tcW w:w="2525" w:type="dxa"/>
            <w:shd w:val="clear" w:color="auto" w:fill="auto"/>
          </w:tcPr>
          <w:p w:rsidR="000904E7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5</w:t>
            </w: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5</w:t>
            </w: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Proti: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Nehlasoval: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870F7F" w:rsidRDefault="00870F7F" w:rsidP="00A6075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870F7F" w:rsidRDefault="00870F7F" w:rsidP="00A6075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870F7F" w:rsidRDefault="00870F7F" w:rsidP="00A6075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870F7F" w:rsidRDefault="00870F7F" w:rsidP="00A6075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0904E7" w:rsidRPr="00926BD4" w:rsidRDefault="00870F7F" w:rsidP="00A6075F">
            <w:pPr>
              <w:rPr>
                <w:rFonts w:ascii="Calibri" w:eastAsia="Calibri" w:hAnsi="Calibri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</w:t>
            </w:r>
            <w:r w:rsidRPr="002B04AA">
              <w:rPr>
                <w:rFonts w:ascii="Arial" w:eastAsia="Arial Unicode MS" w:hAnsi="Arial" w:cs="Arial"/>
                <w:sz w:val="20"/>
                <w:szCs w:val="20"/>
              </w:rPr>
              <w:t>akceptované</w:t>
            </w:r>
          </w:p>
        </w:tc>
        <w:tc>
          <w:tcPr>
            <w:tcW w:w="1744" w:type="dxa"/>
            <w:shd w:val="clear" w:color="auto" w:fill="auto"/>
          </w:tcPr>
          <w:p w:rsidR="000904E7" w:rsidRDefault="000904E7" w:rsidP="00A6075F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870F7F" w:rsidRDefault="00870F7F" w:rsidP="00A6075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870F7F" w:rsidRDefault="00870F7F" w:rsidP="00A6075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870F7F" w:rsidRPr="00926BD4" w:rsidRDefault="00870F7F" w:rsidP="00B00BE8">
            <w:pPr>
              <w:rPr>
                <w:rFonts w:ascii="Calibri" w:eastAsia="Calibri" w:hAnsi="Calibri"/>
                <w:sz w:val="18"/>
                <w:szCs w:val="18"/>
              </w:rPr>
            </w:pPr>
            <w:r w:rsidRPr="00870F7F">
              <w:rPr>
                <w:rFonts w:ascii="Arial" w:eastAsia="Arial Unicode MS" w:hAnsi="Arial" w:cs="Arial"/>
                <w:sz w:val="20"/>
                <w:szCs w:val="20"/>
              </w:rPr>
              <w:t xml:space="preserve">Zapracujeme v úprave rozpočtu </w:t>
            </w:r>
            <w:r w:rsidR="00B00BE8">
              <w:rPr>
                <w:rFonts w:ascii="Arial" w:eastAsia="Arial Unicode MS" w:hAnsi="Arial" w:cs="Arial"/>
                <w:sz w:val="20"/>
                <w:szCs w:val="20"/>
              </w:rPr>
              <w:t>v priebehu roka</w:t>
            </w:r>
          </w:p>
        </w:tc>
      </w:tr>
      <w:tr w:rsidR="000904E7" w:rsidRPr="00926BD4" w:rsidTr="00A6075F">
        <w:trPr>
          <w:trHeight w:val="805"/>
        </w:trPr>
        <w:tc>
          <w:tcPr>
            <w:tcW w:w="0" w:type="auto"/>
            <w:shd w:val="clear" w:color="auto" w:fill="auto"/>
            <w:vAlign w:val="center"/>
          </w:tcPr>
          <w:p w:rsidR="000904E7" w:rsidRPr="00926BD4" w:rsidRDefault="000904E7" w:rsidP="00A6075F">
            <w:pPr>
              <w:ind w:right="-762"/>
              <w:rPr>
                <w:rFonts w:ascii="Arial" w:eastAsia="Arial Unicode MS" w:hAnsi="Arial" w:cs="Arial"/>
                <w:sz w:val="20"/>
                <w:szCs w:val="20"/>
              </w:rPr>
            </w:pPr>
            <w:r w:rsidRPr="00926BD4">
              <w:rPr>
                <w:rFonts w:ascii="Arial" w:eastAsia="Arial Unicode MS" w:hAnsi="Arial" w:cs="Arial"/>
                <w:sz w:val="20"/>
                <w:szCs w:val="20"/>
              </w:rPr>
              <w:t>Komisia regionálneho rozvoja, územného plánovania a životného prostredia</w:t>
            </w:r>
          </w:p>
          <w:p w:rsidR="000904E7" w:rsidRPr="00926BD4" w:rsidRDefault="000904E7" w:rsidP="00A6075F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5269" w:type="dxa"/>
            <w:shd w:val="clear" w:color="auto" w:fill="auto"/>
          </w:tcPr>
          <w:p w:rsidR="000904E7" w:rsidRPr="00B829A8" w:rsidRDefault="000904E7" w:rsidP="00A6075F">
            <w:pPr>
              <w:tabs>
                <w:tab w:val="left" w:pos="-180"/>
              </w:tabs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B829A8">
              <w:rPr>
                <w:rFonts w:ascii="Arial" w:eastAsia="Arial Unicode MS" w:hAnsi="Arial" w:cs="Arial"/>
                <w:sz w:val="20"/>
                <w:szCs w:val="20"/>
              </w:rPr>
              <w:t>Komisia po prerokovaní materiálu odporúča Z BSK predložený návrh uznesenia schváliť s pripomienkou, že materiál  bude doplnený o rozpis plán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ovaných kapitálových výdavkov (</w:t>
            </w:r>
            <w:r w:rsidRPr="00B829A8">
              <w:rPr>
                <w:rFonts w:ascii="Arial" w:eastAsia="Arial Unicode MS" w:hAnsi="Arial" w:cs="Arial"/>
                <w:sz w:val="20"/>
                <w:szCs w:val="20"/>
              </w:rPr>
              <w:t>môž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e to byť aj samostatný materiál</w:t>
            </w:r>
            <w:r w:rsidRPr="00B829A8">
              <w:rPr>
                <w:rFonts w:ascii="Arial" w:eastAsia="Arial Unicode MS" w:hAnsi="Arial" w:cs="Arial"/>
                <w:sz w:val="20"/>
                <w:szCs w:val="20"/>
              </w:rPr>
              <w:t>) a programový rozpočet na rok 2015 bude pripravený podrobnejšie</w:t>
            </w:r>
          </w:p>
        </w:tc>
        <w:tc>
          <w:tcPr>
            <w:tcW w:w="2525" w:type="dxa"/>
            <w:shd w:val="clear" w:color="auto" w:fill="auto"/>
          </w:tcPr>
          <w:p w:rsidR="000904E7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10</w:t>
            </w: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Za: 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9</w:t>
            </w: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Proti: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1</w:t>
            </w:r>
          </w:p>
          <w:p w:rsidR="000904E7" w:rsidRPr="00926BD4" w:rsidRDefault="000904E7" w:rsidP="00A6075F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Nehlasoval: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04E7" w:rsidRPr="0067292A" w:rsidRDefault="000904E7" w:rsidP="00A6075F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7292A">
              <w:rPr>
                <w:rFonts w:ascii="Arial" w:eastAsia="Arial Unicode MS" w:hAnsi="Arial" w:cs="Arial"/>
                <w:sz w:val="20"/>
                <w:szCs w:val="20"/>
              </w:rPr>
              <w:t>akceptované</w:t>
            </w:r>
          </w:p>
        </w:tc>
        <w:tc>
          <w:tcPr>
            <w:tcW w:w="1744" w:type="dxa"/>
            <w:shd w:val="clear" w:color="auto" w:fill="auto"/>
            <w:vAlign w:val="center"/>
          </w:tcPr>
          <w:p w:rsidR="000904E7" w:rsidRPr="0067292A" w:rsidRDefault="000904E7" w:rsidP="00A6075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67292A">
              <w:rPr>
                <w:rFonts w:ascii="Arial" w:eastAsia="Arial Unicode MS" w:hAnsi="Arial" w:cs="Arial"/>
                <w:sz w:val="20"/>
                <w:szCs w:val="20"/>
              </w:rPr>
              <w:t>Bude predložený samostatný materiál</w:t>
            </w:r>
          </w:p>
        </w:tc>
      </w:tr>
      <w:tr w:rsidR="0067292A" w:rsidRPr="00926BD4" w:rsidTr="00A6075F">
        <w:trPr>
          <w:trHeight w:val="668"/>
        </w:trPr>
        <w:tc>
          <w:tcPr>
            <w:tcW w:w="0" w:type="auto"/>
            <w:shd w:val="clear" w:color="auto" w:fill="auto"/>
            <w:vAlign w:val="center"/>
          </w:tcPr>
          <w:p w:rsidR="0067292A" w:rsidRPr="00926BD4" w:rsidRDefault="0067292A" w:rsidP="0067292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26BD4">
              <w:rPr>
                <w:rFonts w:ascii="Arial" w:eastAsia="Arial Unicode MS" w:hAnsi="Arial" w:cs="Arial"/>
                <w:sz w:val="20"/>
                <w:szCs w:val="20"/>
              </w:rPr>
              <w:t>Komisia školstva, športu a mládeže</w:t>
            </w:r>
          </w:p>
          <w:p w:rsidR="0067292A" w:rsidRPr="00926BD4" w:rsidRDefault="0067292A" w:rsidP="0067292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5269" w:type="dxa"/>
            <w:shd w:val="clear" w:color="auto" w:fill="auto"/>
            <w:vAlign w:val="center"/>
          </w:tcPr>
          <w:p w:rsidR="0067292A" w:rsidRPr="00926BD4" w:rsidRDefault="0067292A" w:rsidP="0067292A">
            <w:pPr>
              <w:rPr>
                <w:rFonts w:ascii="Calibri" w:eastAsia="Calibri" w:hAnsi="Calibri"/>
                <w:sz w:val="20"/>
                <w:szCs w:val="20"/>
              </w:rPr>
            </w:pPr>
            <w:r w:rsidRPr="00A55921">
              <w:rPr>
                <w:rFonts w:ascii="Arial" w:eastAsia="Arial Unicode MS" w:hAnsi="Arial" w:cs="Arial"/>
                <w:sz w:val="20"/>
                <w:szCs w:val="20"/>
              </w:rPr>
              <w:t>Komisia materiál prerokovala, odporúča do komentára doplniť jednotlivé orientačné sumy pri návrhu rozpočtu v  Podprograme 1.3 a po doplnení v zmysle návrhu uznesenia predložiť na rokovanie Zastupiteľstva BSK</w:t>
            </w:r>
          </w:p>
        </w:tc>
        <w:tc>
          <w:tcPr>
            <w:tcW w:w="2525" w:type="dxa"/>
            <w:shd w:val="clear" w:color="auto" w:fill="auto"/>
          </w:tcPr>
          <w:p w:rsidR="0067292A" w:rsidRDefault="0067292A" w:rsidP="0067292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9</w:t>
            </w:r>
          </w:p>
          <w:p w:rsidR="0067292A" w:rsidRDefault="0067292A" w:rsidP="0067292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9</w:t>
            </w: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67292A" w:rsidRPr="00926BD4" w:rsidRDefault="0067292A" w:rsidP="0067292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67292A" w:rsidRPr="00926BD4" w:rsidRDefault="0067292A" w:rsidP="0067292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>Zdržal sa: 0</w:t>
            </w:r>
          </w:p>
          <w:p w:rsidR="0067292A" w:rsidRPr="00926BD4" w:rsidRDefault="0067292A" w:rsidP="0067292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7292A" w:rsidRPr="00926BD4" w:rsidRDefault="0067292A" w:rsidP="0067292A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B04AA">
              <w:rPr>
                <w:rFonts w:ascii="Arial" w:eastAsia="Arial Unicode MS" w:hAnsi="Arial" w:cs="Arial"/>
                <w:sz w:val="20"/>
                <w:szCs w:val="20"/>
              </w:rPr>
              <w:t>akceptované</w:t>
            </w:r>
          </w:p>
        </w:tc>
        <w:tc>
          <w:tcPr>
            <w:tcW w:w="1744" w:type="dxa"/>
            <w:shd w:val="clear" w:color="auto" w:fill="auto"/>
            <w:vAlign w:val="center"/>
          </w:tcPr>
          <w:p w:rsidR="0067292A" w:rsidRPr="002B04AA" w:rsidRDefault="0067292A" w:rsidP="0067292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B04AA">
              <w:rPr>
                <w:rFonts w:ascii="Arial" w:eastAsia="Arial Unicode MS" w:hAnsi="Arial" w:cs="Arial"/>
                <w:sz w:val="20"/>
                <w:szCs w:val="20"/>
              </w:rPr>
              <w:t>Zapracované v</w:t>
            </w:r>
          </w:p>
          <w:p w:rsidR="0067292A" w:rsidRPr="00926BD4" w:rsidRDefault="0067292A" w:rsidP="0067292A">
            <w:pPr>
              <w:rPr>
                <w:rFonts w:ascii="Calibri" w:eastAsia="Calibri" w:hAnsi="Calibri"/>
                <w:sz w:val="18"/>
                <w:szCs w:val="18"/>
              </w:rPr>
            </w:pPr>
            <w:r w:rsidRPr="00A55921">
              <w:rPr>
                <w:rFonts w:ascii="Arial" w:eastAsia="Arial Unicode MS" w:hAnsi="Arial" w:cs="Arial"/>
                <w:sz w:val="20"/>
                <w:szCs w:val="20"/>
              </w:rPr>
              <w:t>Podprograme 1.3</w:t>
            </w:r>
          </w:p>
        </w:tc>
      </w:tr>
      <w:tr w:rsidR="0067292A" w:rsidRPr="00926BD4" w:rsidTr="00574EF5">
        <w:trPr>
          <w:trHeight w:val="799"/>
        </w:trPr>
        <w:tc>
          <w:tcPr>
            <w:tcW w:w="0" w:type="auto"/>
            <w:shd w:val="clear" w:color="auto" w:fill="auto"/>
            <w:vAlign w:val="center"/>
          </w:tcPr>
          <w:p w:rsidR="0067292A" w:rsidRPr="00926BD4" w:rsidRDefault="0067292A" w:rsidP="0067292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926BD4">
              <w:rPr>
                <w:rFonts w:ascii="Arial" w:eastAsia="Arial Unicode MS" w:hAnsi="Arial" w:cs="Arial"/>
                <w:sz w:val="20"/>
                <w:szCs w:val="20"/>
              </w:rPr>
              <w:t>Finančná komisia</w:t>
            </w:r>
          </w:p>
          <w:p w:rsidR="0067292A" w:rsidRPr="00926BD4" w:rsidRDefault="0067292A" w:rsidP="0067292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5269" w:type="dxa"/>
            <w:shd w:val="clear" w:color="auto" w:fill="auto"/>
          </w:tcPr>
          <w:p w:rsidR="0067292A" w:rsidRDefault="0067292A" w:rsidP="0067292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67292A" w:rsidRPr="00926BD4" w:rsidRDefault="0067292A" w:rsidP="0067292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Komisia </w:t>
            </w:r>
            <w:r w:rsidRPr="0067292A">
              <w:rPr>
                <w:rFonts w:ascii="Arial" w:eastAsia="Arial Unicode MS" w:hAnsi="Arial" w:cs="Arial"/>
                <w:sz w:val="20"/>
                <w:szCs w:val="20"/>
              </w:rPr>
              <w:t>odporúča Z BSK schváliť materiál „Návrh rozpočtu BSK na roky 2014-2016“</w:t>
            </w:r>
          </w:p>
        </w:tc>
        <w:tc>
          <w:tcPr>
            <w:tcW w:w="2525" w:type="dxa"/>
            <w:shd w:val="clear" w:color="auto" w:fill="auto"/>
          </w:tcPr>
          <w:p w:rsidR="0067292A" w:rsidRPr="00926BD4" w:rsidRDefault="0067292A" w:rsidP="0067292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9</w:t>
            </w:r>
          </w:p>
          <w:p w:rsidR="0067292A" w:rsidRPr="00926BD4" w:rsidRDefault="0067292A" w:rsidP="0067292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9</w:t>
            </w:r>
          </w:p>
          <w:p w:rsidR="0067292A" w:rsidRPr="00926BD4" w:rsidRDefault="0067292A" w:rsidP="0067292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67292A" w:rsidRPr="00926BD4" w:rsidRDefault="0067292A" w:rsidP="0067292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67292A" w:rsidRPr="00926BD4" w:rsidRDefault="0067292A" w:rsidP="0067292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7292A" w:rsidRPr="002B04AA" w:rsidRDefault="0067292A" w:rsidP="0067292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auto"/>
            <w:vAlign w:val="center"/>
          </w:tcPr>
          <w:p w:rsidR="0067292A" w:rsidRPr="002B04AA" w:rsidRDefault="0067292A" w:rsidP="0067292A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:rsidR="000904E7" w:rsidRPr="009A69F2" w:rsidRDefault="000904E7" w:rsidP="009A69F2">
      <w:pPr>
        <w:spacing w:after="200" w:line="276" w:lineRule="auto"/>
      </w:pPr>
      <w:r>
        <w:rPr>
          <w:rFonts w:ascii="Arial" w:eastAsia="Arial Unicode MS" w:hAnsi="Arial" w:cs="Arial"/>
          <w:sz w:val="22"/>
          <w:szCs w:val="22"/>
        </w:rPr>
        <w:t xml:space="preserve">V stĺpci </w:t>
      </w:r>
      <w:r>
        <w:rPr>
          <w:rFonts w:ascii="Arial" w:eastAsia="Arial Unicode MS" w:hAnsi="Arial" w:cs="Arial"/>
          <w:b/>
          <w:sz w:val="22"/>
          <w:szCs w:val="22"/>
        </w:rPr>
        <w:t>zapracované / nezapracované pripomienky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</w:t>
      </w:r>
      <w:r w:rsidR="009A69F2">
        <w:rPr>
          <w:rFonts w:ascii="Arial" w:eastAsia="Arial Unicode MS" w:hAnsi="Arial" w:cs="Arial"/>
          <w:sz w:val="22"/>
          <w:szCs w:val="22"/>
        </w:rPr>
        <w:t>pracované, ak nie, uviesť dôvod</w:t>
      </w:r>
    </w:p>
    <w:sectPr w:rsidR="000904E7" w:rsidRPr="009A69F2" w:rsidSect="00676189">
      <w:pgSz w:w="16838" w:h="11906" w:orient="landscape"/>
      <w:pgMar w:top="567" w:right="141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D6631"/>
    <w:multiLevelType w:val="hybridMultilevel"/>
    <w:tmpl w:val="00702E8A"/>
    <w:lvl w:ilvl="0" w:tplc="5C102B36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9F5E90"/>
    <w:multiLevelType w:val="hybridMultilevel"/>
    <w:tmpl w:val="09707454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7ED58EF"/>
    <w:multiLevelType w:val="hybridMultilevel"/>
    <w:tmpl w:val="D7FEE2B6"/>
    <w:lvl w:ilvl="0" w:tplc="53BE038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992CAE"/>
    <w:multiLevelType w:val="hybridMultilevel"/>
    <w:tmpl w:val="78FCD1D6"/>
    <w:lvl w:ilvl="0" w:tplc="42FAC5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78842E96"/>
    <w:multiLevelType w:val="hybridMultilevel"/>
    <w:tmpl w:val="E91692EC"/>
    <w:lvl w:ilvl="0" w:tplc="8B1C2508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751ABE"/>
    <w:multiLevelType w:val="hybridMultilevel"/>
    <w:tmpl w:val="F02A3BB4"/>
    <w:lvl w:ilvl="0" w:tplc="3FB46206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6D"/>
    <w:rsid w:val="0001336B"/>
    <w:rsid w:val="00037BD1"/>
    <w:rsid w:val="00057F4B"/>
    <w:rsid w:val="00061CDD"/>
    <w:rsid w:val="00063449"/>
    <w:rsid w:val="000668A4"/>
    <w:rsid w:val="000772F8"/>
    <w:rsid w:val="000811BC"/>
    <w:rsid w:val="0008399A"/>
    <w:rsid w:val="000904E7"/>
    <w:rsid w:val="000B4F73"/>
    <w:rsid w:val="000B72DB"/>
    <w:rsid w:val="000C0367"/>
    <w:rsid w:val="000C1EE4"/>
    <w:rsid w:val="0011090B"/>
    <w:rsid w:val="00110D38"/>
    <w:rsid w:val="00120C0C"/>
    <w:rsid w:val="0012366D"/>
    <w:rsid w:val="00132C50"/>
    <w:rsid w:val="0013742A"/>
    <w:rsid w:val="001675A9"/>
    <w:rsid w:val="00173DAC"/>
    <w:rsid w:val="001767E3"/>
    <w:rsid w:val="0019169C"/>
    <w:rsid w:val="0019194B"/>
    <w:rsid w:val="001A08A1"/>
    <w:rsid w:val="001A7565"/>
    <w:rsid w:val="001D69D8"/>
    <w:rsid w:val="001F6D80"/>
    <w:rsid w:val="00281390"/>
    <w:rsid w:val="002B3413"/>
    <w:rsid w:val="002E2A7B"/>
    <w:rsid w:val="002E2CC0"/>
    <w:rsid w:val="002E6423"/>
    <w:rsid w:val="002F56C0"/>
    <w:rsid w:val="003567B4"/>
    <w:rsid w:val="003906F4"/>
    <w:rsid w:val="003F5304"/>
    <w:rsid w:val="00405C98"/>
    <w:rsid w:val="00450A86"/>
    <w:rsid w:val="00455FEA"/>
    <w:rsid w:val="00484B02"/>
    <w:rsid w:val="004B206D"/>
    <w:rsid w:val="004B439E"/>
    <w:rsid w:val="004D644E"/>
    <w:rsid w:val="004E1C94"/>
    <w:rsid w:val="00506B8D"/>
    <w:rsid w:val="00507C08"/>
    <w:rsid w:val="00520959"/>
    <w:rsid w:val="005335FF"/>
    <w:rsid w:val="00550227"/>
    <w:rsid w:val="00577693"/>
    <w:rsid w:val="00583C4F"/>
    <w:rsid w:val="00586635"/>
    <w:rsid w:val="00593368"/>
    <w:rsid w:val="005D35BE"/>
    <w:rsid w:val="00600BF5"/>
    <w:rsid w:val="00611059"/>
    <w:rsid w:val="00612E4E"/>
    <w:rsid w:val="0062227E"/>
    <w:rsid w:val="00632635"/>
    <w:rsid w:val="00656493"/>
    <w:rsid w:val="00670DF9"/>
    <w:rsid w:val="006726A8"/>
    <w:rsid w:val="0067292A"/>
    <w:rsid w:val="00676189"/>
    <w:rsid w:val="006C438C"/>
    <w:rsid w:val="006C713C"/>
    <w:rsid w:val="006D33AB"/>
    <w:rsid w:val="006E49CB"/>
    <w:rsid w:val="006F5024"/>
    <w:rsid w:val="00756777"/>
    <w:rsid w:val="00784D97"/>
    <w:rsid w:val="00800FC8"/>
    <w:rsid w:val="00801C4E"/>
    <w:rsid w:val="008406F3"/>
    <w:rsid w:val="00844406"/>
    <w:rsid w:val="0086401E"/>
    <w:rsid w:val="00864FFB"/>
    <w:rsid w:val="0086758D"/>
    <w:rsid w:val="00870F7F"/>
    <w:rsid w:val="008821B5"/>
    <w:rsid w:val="008C1C18"/>
    <w:rsid w:val="008F636C"/>
    <w:rsid w:val="0090295A"/>
    <w:rsid w:val="00984C45"/>
    <w:rsid w:val="0099093F"/>
    <w:rsid w:val="009A69F2"/>
    <w:rsid w:val="009A7FDC"/>
    <w:rsid w:val="009B5EEF"/>
    <w:rsid w:val="009D0F45"/>
    <w:rsid w:val="009F16C2"/>
    <w:rsid w:val="009F3271"/>
    <w:rsid w:val="009F5BFE"/>
    <w:rsid w:val="00A051C4"/>
    <w:rsid w:val="00A300EB"/>
    <w:rsid w:val="00A34F82"/>
    <w:rsid w:val="00A5281D"/>
    <w:rsid w:val="00A53280"/>
    <w:rsid w:val="00A6075F"/>
    <w:rsid w:val="00A9501A"/>
    <w:rsid w:val="00AB498E"/>
    <w:rsid w:val="00AC4E3E"/>
    <w:rsid w:val="00AD4550"/>
    <w:rsid w:val="00AE3CBD"/>
    <w:rsid w:val="00AF0F6B"/>
    <w:rsid w:val="00AF3787"/>
    <w:rsid w:val="00B006A8"/>
    <w:rsid w:val="00B00BE8"/>
    <w:rsid w:val="00B559F1"/>
    <w:rsid w:val="00B601CA"/>
    <w:rsid w:val="00BC3935"/>
    <w:rsid w:val="00BD5C0E"/>
    <w:rsid w:val="00BE0E55"/>
    <w:rsid w:val="00BE7293"/>
    <w:rsid w:val="00C01AF3"/>
    <w:rsid w:val="00C115E2"/>
    <w:rsid w:val="00C116D6"/>
    <w:rsid w:val="00C24E00"/>
    <w:rsid w:val="00C37053"/>
    <w:rsid w:val="00C377C4"/>
    <w:rsid w:val="00C53B12"/>
    <w:rsid w:val="00C73E87"/>
    <w:rsid w:val="00CC7CCA"/>
    <w:rsid w:val="00CD655D"/>
    <w:rsid w:val="00CE2D1E"/>
    <w:rsid w:val="00D26C99"/>
    <w:rsid w:val="00D36464"/>
    <w:rsid w:val="00D5394D"/>
    <w:rsid w:val="00D55033"/>
    <w:rsid w:val="00D60875"/>
    <w:rsid w:val="00D73E33"/>
    <w:rsid w:val="00D74E94"/>
    <w:rsid w:val="00D84952"/>
    <w:rsid w:val="00DB4244"/>
    <w:rsid w:val="00DC1B36"/>
    <w:rsid w:val="00DC775C"/>
    <w:rsid w:val="00DD43A4"/>
    <w:rsid w:val="00DE6C6D"/>
    <w:rsid w:val="00E17E52"/>
    <w:rsid w:val="00E26EB3"/>
    <w:rsid w:val="00E45C42"/>
    <w:rsid w:val="00E46AC4"/>
    <w:rsid w:val="00E6158B"/>
    <w:rsid w:val="00E64B19"/>
    <w:rsid w:val="00E72617"/>
    <w:rsid w:val="00E76D1A"/>
    <w:rsid w:val="00EB1667"/>
    <w:rsid w:val="00F17BBC"/>
    <w:rsid w:val="00F3360B"/>
    <w:rsid w:val="00F609E0"/>
    <w:rsid w:val="00F662CD"/>
    <w:rsid w:val="00FA2613"/>
    <w:rsid w:val="00FC4600"/>
    <w:rsid w:val="00FE428B"/>
    <w:rsid w:val="00FE50C2"/>
    <w:rsid w:val="00FE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23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12366D"/>
    <w:pPr>
      <w:jc w:val="center"/>
    </w:pPr>
    <w:rPr>
      <w:b/>
      <w:bCs/>
      <w:sz w:val="40"/>
      <w:szCs w:val="40"/>
    </w:rPr>
  </w:style>
  <w:style w:type="character" w:customStyle="1" w:styleId="NzovChar">
    <w:name w:val="Názov Char"/>
    <w:basedOn w:val="Predvolenpsmoodseku"/>
    <w:link w:val="Nzov"/>
    <w:rsid w:val="0012366D"/>
    <w:rPr>
      <w:rFonts w:ascii="Times New Roman" w:eastAsia="Times New Roman" w:hAnsi="Times New Roman" w:cs="Times New Roman"/>
      <w:b/>
      <w:bCs/>
      <w:sz w:val="40"/>
      <w:szCs w:val="4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236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2366D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rsid w:val="002E2CC0"/>
    <w:pPr>
      <w:ind w:left="705" w:hanging="705"/>
      <w:jc w:val="both"/>
    </w:pPr>
    <w:rPr>
      <w:rFonts w:ascii="Arial Narrow" w:hAnsi="Arial Narrow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2E2CC0"/>
    <w:rPr>
      <w:rFonts w:ascii="Arial Narrow" w:eastAsia="Times New Roman" w:hAnsi="Arial Narrow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2E2CC0"/>
    <w:pPr>
      <w:spacing w:line="360" w:lineRule="auto"/>
      <w:jc w:val="both"/>
    </w:pPr>
    <w:rPr>
      <w:rFonts w:ascii="Arial Narrow" w:hAnsi="Arial Narrow"/>
      <w:sz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2E2CC0"/>
    <w:rPr>
      <w:rFonts w:ascii="Arial Narrow" w:eastAsia="Times New Roman" w:hAnsi="Arial Narrow" w:cs="Times New Roman"/>
      <w:szCs w:val="24"/>
      <w:lang w:eastAsia="cs-CZ"/>
    </w:rPr>
  </w:style>
  <w:style w:type="paragraph" w:customStyle="1" w:styleId="Obsahtabulky">
    <w:name w:val="Obsah tabulky"/>
    <w:basedOn w:val="Normlny"/>
    <w:rsid w:val="002E2CC0"/>
    <w:pPr>
      <w:widowControl w:val="0"/>
      <w:suppressLineNumbers/>
      <w:suppressAutoHyphens/>
    </w:pPr>
    <w:rPr>
      <w:rFonts w:cs="Tahoma"/>
      <w:lang w:val="cs-CZ"/>
    </w:rPr>
  </w:style>
  <w:style w:type="paragraph" w:styleId="Odsekzoznamu">
    <w:name w:val="List Paragraph"/>
    <w:basedOn w:val="Normlny"/>
    <w:uiPriority w:val="34"/>
    <w:qFormat/>
    <w:rsid w:val="00AF0F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23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12366D"/>
    <w:pPr>
      <w:jc w:val="center"/>
    </w:pPr>
    <w:rPr>
      <w:b/>
      <w:bCs/>
      <w:sz w:val="40"/>
      <w:szCs w:val="40"/>
    </w:rPr>
  </w:style>
  <w:style w:type="character" w:customStyle="1" w:styleId="NzovChar">
    <w:name w:val="Názov Char"/>
    <w:basedOn w:val="Predvolenpsmoodseku"/>
    <w:link w:val="Nzov"/>
    <w:rsid w:val="0012366D"/>
    <w:rPr>
      <w:rFonts w:ascii="Times New Roman" w:eastAsia="Times New Roman" w:hAnsi="Times New Roman" w:cs="Times New Roman"/>
      <w:b/>
      <w:bCs/>
      <w:sz w:val="40"/>
      <w:szCs w:val="4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236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2366D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rsid w:val="002E2CC0"/>
    <w:pPr>
      <w:ind w:left="705" w:hanging="705"/>
      <w:jc w:val="both"/>
    </w:pPr>
    <w:rPr>
      <w:rFonts w:ascii="Arial Narrow" w:hAnsi="Arial Narrow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2E2CC0"/>
    <w:rPr>
      <w:rFonts w:ascii="Arial Narrow" w:eastAsia="Times New Roman" w:hAnsi="Arial Narrow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2E2CC0"/>
    <w:pPr>
      <w:spacing w:line="360" w:lineRule="auto"/>
      <w:jc w:val="both"/>
    </w:pPr>
    <w:rPr>
      <w:rFonts w:ascii="Arial Narrow" w:hAnsi="Arial Narrow"/>
      <w:sz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2E2CC0"/>
    <w:rPr>
      <w:rFonts w:ascii="Arial Narrow" w:eastAsia="Times New Roman" w:hAnsi="Arial Narrow" w:cs="Times New Roman"/>
      <w:szCs w:val="24"/>
      <w:lang w:eastAsia="cs-CZ"/>
    </w:rPr>
  </w:style>
  <w:style w:type="paragraph" w:customStyle="1" w:styleId="Obsahtabulky">
    <w:name w:val="Obsah tabulky"/>
    <w:basedOn w:val="Normlny"/>
    <w:rsid w:val="002E2CC0"/>
    <w:pPr>
      <w:widowControl w:val="0"/>
      <w:suppressLineNumbers/>
      <w:suppressAutoHyphens/>
    </w:pPr>
    <w:rPr>
      <w:rFonts w:cs="Tahoma"/>
      <w:lang w:val="cs-CZ"/>
    </w:rPr>
  </w:style>
  <w:style w:type="paragraph" w:styleId="Odsekzoznamu">
    <w:name w:val="List Paragraph"/>
    <w:basedOn w:val="Normlny"/>
    <w:uiPriority w:val="34"/>
    <w:qFormat/>
    <w:rsid w:val="00AF0F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1999</Words>
  <Characters>11397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Vlčej</dc:creator>
  <cp:lastModifiedBy>Zuzana Lovíšková</cp:lastModifiedBy>
  <cp:revision>2</cp:revision>
  <cp:lastPrinted>2014-02-07T07:54:00Z</cp:lastPrinted>
  <dcterms:created xsi:type="dcterms:W3CDTF">2014-02-10T12:08:00Z</dcterms:created>
  <dcterms:modified xsi:type="dcterms:W3CDTF">2014-02-10T12:08:00Z</dcterms:modified>
</cp:coreProperties>
</file>